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7"/>
      </w:tblGrid>
      <w:tr w:rsidR="00EF7813" w:rsidRPr="008720A2" w:rsidTr="00EF7813">
        <w:trPr>
          <w:trHeight w:val="1590"/>
        </w:trPr>
        <w:tc>
          <w:tcPr>
            <w:tcW w:w="4517" w:type="dxa"/>
          </w:tcPr>
          <w:p w:rsidR="00EF7813" w:rsidRPr="008720A2" w:rsidRDefault="00EF7813" w:rsidP="00EF7813">
            <w:pPr>
              <w:spacing w:after="0"/>
              <w:rPr>
                <w:rFonts w:ascii="Times New Roman" w:hAnsi="Times New Roman"/>
                <w:color w:val="17375E"/>
                <w:sz w:val="122"/>
                <w:szCs w:val="122"/>
              </w:rPr>
            </w:pPr>
            <w:r w:rsidRPr="008720A2">
              <w:rPr>
                <w:rFonts w:ascii="Times New Roman" w:hAnsi="Times New Roman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allowOverlap="1" wp14:anchorId="1CA2B1C2" wp14:editId="288A2FE1">
                      <wp:simplePos x="0" y="0"/>
                      <wp:positionH relativeFrom="column">
                        <wp:posOffset>-334010</wp:posOffset>
                      </wp:positionH>
                      <wp:positionV relativeFrom="paragraph">
                        <wp:posOffset>-60325</wp:posOffset>
                      </wp:positionV>
                      <wp:extent cx="6551930" cy="9371965"/>
                      <wp:effectExtent l="0" t="0" r="39370" b="19685"/>
                      <wp:wrapNone/>
                      <wp:docPr id="1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551930" cy="9371965"/>
                                <a:chOff x="817" y="1248"/>
                                <a:chExt cx="10318" cy="14759"/>
                              </a:xfrm>
                            </wpg:grpSpPr>
                            <wps:wsp>
                              <wps:cNvPr id="2" name="Line 3"/>
                              <wps:cNvCnPr/>
                              <wps:spPr bwMode="auto">
                                <a:xfrm>
                                  <a:off x="11133" y="1248"/>
                                  <a:ext cx="2" cy="14759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8100">
                                  <a:solidFill>
                                    <a:srgbClr val="333399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" name="Line 4"/>
                              <wps:cNvCnPr/>
                              <wps:spPr bwMode="auto">
                                <a:xfrm flipH="1">
                                  <a:off x="817" y="15997"/>
                                  <a:ext cx="10318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8100">
                                  <a:solidFill>
                                    <a:srgbClr val="333399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88467C5" id="Group 2" o:spid="_x0000_s1026" style="position:absolute;margin-left:-26.3pt;margin-top:-4.75pt;width:515.9pt;height:737.95pt;z-index:251662336" coordorigin="817,1248" coordsize="10318,147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">
                      <v:line id="Line 3" o:spid="_x0000_s1027" style="position:absolute;visibility:visible;mso-wrap-style:square" from="11133,1248" to="11135,160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" strokecolor="#339" strokeweight="3pt"/>
                      <v:line id="Line 4" o:spid="_x0000_s1028" style="position:absolute;flip:x;visibility:visible;mso-wrap-style:square" from="817,15997" to="11135,159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" strokecolor="#339" strokeweight="3pt"/>
                    </v:group>
                  </w:pict>
                </mc:Fallback>
              </mc:AlternateContent>
            </w:r>
            <w:r w:rsidRPr="008720A2">
              <w:rPr>
                <w:rFonts w:ascii="Times New Roman" w:hAnsi="Times New Roman"/>
                <w:noProof/>
              </w:rPr>
              <w:drawing>
                <wp:inline distT="0" distB="0" distL="0" distR="0" wp14:anchorId="585B85E5" wp14:editId="4A2C7865">
                  <wp:extent cx="2724150" cy="839545"/>
                  <wp:effectExtent l="0" t="0" r="0" b="0"/>
                  <wp:docPr id="6" name="Kép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4150" cy="839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93853" w:rsidRPr="008720A2" w:rsidRDefault="00493853" w:rsidP="00493853">
      <w:pPr>
        <w:spacing w:after="0"/>
        <w:rPr>
          <w:rFonts w:ascii="Times New Roman" w:hAnsi="Times New Roman"/>
          <w:color w:val="17375E"/>
          <w:sz w:val="122"/>
          <w:szCs w:val="122"/>
        </w:rPr>
      </w:pPr>
    </w:p>
    <w:p w:rsidR="00493853" w:rsidRPr="008720A2" w:rsidRDefault="00493853" w:rsidP="00493853">
      <w:pPr>
        <w:spacing w:after="0"/>
        <w:rPr>
          <w:rFonts w:ascii="Times New Roman" w:hAnsi="Times New Roman"/>
          <w:color w:val="002060"/>
          <w:sz w:val="72"/>
          <w:szCs w:val="72"/>
        </w:rPr>
      </w:pPr>
    </w:p>
    <w:p w:rsidR="00493853" w:rsidRPr="008720A2" w:rsidRDefault="00493853" w:rsidP="00493853">
      <w:pPr>
        <w:spacing w:after="0"/>
        <w:jc w:val="center"/>
        <w:rPr>
          <w:rFonts w:ascii="Times New Roman" w:hAnsi="Times New Roman"/>
          <w:color w:val="002060"/>
          <w:sz w:val="24"/>
          <w:szCs w:val="24"/>
        </w:rPr>
      </w:pPr>
    </w:p>
    <w:p w:rsidR="000B4F3E" w:rsidRPr="008720A2" w:rsidRDefault="000B4F3E" w:rsidP="00493853">
      <w:pPr>
        <w:spacing w:after="0"/>
        <w:jc w:val="center"/>
        <w:rPr>
          <w:rFonts w:ascii="Times New Roman" w:hAnsi="Times New Roman"/>
          <w:color w:val="002060"/>
          <w:sz w:val="24"/>
          <w:szCs w:val="24"/>
        </w:rPr>
      </w:pPr>
    </w:p>
    <w:p w:rsidR="000B4F3E" w:rsidRPr="008720A2" w:rsidRDefault="000B4F3E" w:rsidP="00493853">
      <w:pPr>
        <w:spacing w:after="0"/>
        <w:jc w:val="center"/>
        <w:rPr>
          <w:rFonts w:ascii="Times New Roman" w:hAnsi="Times New Roman"/>
          <w:color w:val="002060"/>
          <w:sz w:val="24"/>
          <w:szCs w:val="24"/>
        </w:rPr>
      </w:pPr>
    </w:p>
    <w:p w:rsidR="000B4F3E" w:rsidRPr="008720A2" w:rsidRDefault="000B4F3E" w:rsidP="00493853">
      <w:pPr>
        <w:spacing w:after="0"/>
        <w:jc w:val="center"/>
        <w:rPr>
          <w:rFonts w:ascii="Times New Roman" w:hAnsi="Times New Roman"/>
          <w:color w:val="002060"/>
          <w:sz w:val="24"/>
          <w:szCs w:val="24"/>
        </w:rPr>
      </w:pPr>
    </w:p>
    <w:p w:rsidR="00E84FDE" w:rsidRDefault="00E84FDE" w:rsidP="00E84FDE">
      <w:pPr>
        <w:jc w:val="center"/>
        <w:rPr>
          <w:b/>
          <w:sz w:val="36"/>
          <w:szCs w:val="36"/>
        </w:rPr>
      </w:pPr>
      <w:r w:rsidRPr="00EF3E80">
        <w:rPr>
          <w:b/>
          <w:sz w:val="36"/>
          <w:szCs w:val="36"/>
        </w:rPr>
        <w:t>A Pécsi Tudományegyetem Egyetemi Könyvtár</w:t>
      </w:r>
      <w:r>
        <w:rPr>
          <w:b/>
          <w:sz w:val="36"/>
          <w:szCs w:val="36"/>
        </w:rPr>
        <w:t xml:space="preserve"> és Tudásközpont</w:t>
      </w:r>
      <w:r w:rsidRPr="00EF3E80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Dél-dunántúli Regionális Könyvtár és Tudásközpont épületén kívül </w:t>
      </w:r>
      <w:r w:rsidRPr="00EF3E80">
        <w:rPr>
          <w:b/>
          <w:sz w:val="36"/>
          <w:szCs w:val="36"/>
        </w:rPr>
        <w:t>működő könyvtárainak közös használati szabályzata</w:t>
      </w:r>
      <w:r>
        <w:rPr>
          <w:b/>
          <w:sz w:val="36"/>
          <w:szCs w:val="36"/>
        </w:rPr>
        <w:t xml:space="preserve"> </w:t>
      </w:r>
    </w:p>
    <w:p w:rsidR="00E84FDE" w:rsidRPr="00EF3E80" w:rsidRDefault="00E84FDE" w:rsidP="00E84FDE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(EKHSZ)</w:t>
      </w:r>
    </w:p>
    <w:p w:rsidR="00E84FDE" w:rsidRDefault="00E84FDE" w:rsidP="00E84FDE">
      <w:pPr>
        <w:jc w:val="center"/>
      </w:pPr>
    </w:p>
    <w:p w:rsidR="00E84FDE" w:rsidRDefault="00E84FDE" w:rsidP="00E84FDE">
      <w:pPr>
        <w:jc w:val="center"/>
      </w:pPr>
      <w:r>
        <w:t>2</w:t>
      </w:r>
      <w:r>
        <w:t>020.09.22.</w:t>
      </w:r>
    </w:p>
    <w:p w:rsidR="00A37C4D" w:rsidRPr="008720A2" w:rsidRDefault="00A37C4D" w:rsidP="00493853">
      <w:pPr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</w:p>
    <w:p w:rsidR="00D12A71" w:rsidRPr="008720A2" w:rsidRDefault="00D12A71" w:rsidP="00493853">
      <w:pPr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</w:p>
    <w:p w:rsidR="00CB6F5A" w:rsidRPr="008720A2" w:rsidRDefault="00CB6F5A" w:rsidP="00493853">
      <w:pPr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</w:p>
    <w:p w:rsidR="00CB6F5A" w:rsidRPr="008720A2" w:rsidRDefault="00233B8E" w:rsidP="00493853">
      <w:pPr>
        <w:tabs>
          <w:tab w:val="left" w:pos="6825"/>
        </w:tabs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  <w:r w:rsidRPr="008720A2">
        <w:rPr>
          <w:rFonts w:ascii="Times New Roman" w:hAnsi="Times New Roman"/>
          <w:color w:val="17375E"/>
          <w:sz w:val="28"/>
          <w:szCs w:val="28"/>
        </w:rPr>
        <w:tab/>
      </w:r>
    </w:p>
    <w:p w:rsidR="00493853" w:rsidRPr="008720A2" w:rsidRDefault="00493853" w:rsidP="00493853">
      <w:pPr>
        <w:tabs>
          <w:tab w:val="left" w:pos="6825"/>
        </w:tabs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</w:p>
    <w:p w:rsidR="00493853" w:rsidRPr="008720A2" w:rsidRDefault="00493853" w:rsidP="00493853">
      <w:pPr>
        <w:tabs>
          <w:tab w:val="left" w:pos="6825"/>
        </w:tabs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</w:p>
    <w:p w:rsidR="00493853" w:rsidRPr="008720A2" w:rsidRDefault="00493853" w:rsidP="00493853">
      <w:pPr>
        <w:tabs>
          <w:tab w:val="left" w:pos="6825"/>
        </w:tabs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</w:p>
    <w:p w:rsidR="00493853" w:rsidRPr="008720A2" w:rsidRDefault="00493853" w:rsidP="00493853">
      <w:pPr>
        <w:tabs>
          <w:tab w:val="left" w:pos="6825"/>
        </w:tabs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</w:p>
    <w:p w:rsidR="00E2061B" w:rsidRPr="008720A2" w:rsidRDefault="00E2061B" w:rsidP="00E2061B">
      <w:pPr>
        <w:tabs>
          <w:tab w:val="left" w:pos="6825"/>
        </w:tabs>
        <w:spacing w:after="0"/>
        <w:rPr>
          <w:rFonts w:ascii="Times New Roman" w:hAnsi="Times New Roman"/>
          <w:color w:val="17375E"/>
          <w:sz w:val="28"/>
          <w:szCs w:val="28"/>
        </w:rPr>
      </w:pPr>
    </w:p>
    <w:p w:rsidR="00E2061B" w:rsidRPr="008720A2" w:rsidRDefault="00E2061B" w:rsidP="00E2061B">
      <w:pPr>
        <w:tabs>
          <w:tab w:val="left" w:pos="6825"/>
        </w:tabs>
        <w:spacing w:after="0"/>
        <w:rPr>
          <w:rFonts w:ascii="Times New Roman" w:hAnsi="Times New Roman"/>
          <w:color w:val="17375E"/>
          <w:sz w:val="28"/>
          <w:szCs w:val="28"/>
        </w:rPr>
      </w:pPr>
    </w:p>
    <w:p w:rsidR="00493853" w:rsidRPr="00224CB3" w:rsidRDefault="00F947A6" w:rsidP="00E2061B">
      <w:pPr>
        <w:tabs>
          <w:tab w:val="left" w:pos="6825"/>
        </w:tabs>
        <w:spacing w:after="0"/>
        <w:jc w:val="right"/>
        <w:rPr>
          <w:rFonts w:ascii="Times New Roman" w:hAnsi="Times New Roman"/>
          <w:smallCaps/>
          <w:color w:val="17375E"/>
          <w:sz w:val="28"/>
          <w:szCs w:val="28"/>
        </w:rPr>
      </w:pPr>
      <w:r w:rsidRPr="00224CB3">
        <w:rPr>
          <w:rFonts w:ascii="Times New Roman" w:hAnsi="Times New Roman"/>
          <w:smallCaps/>
          <w:color w:val="17375E"/>
          <w:sz w:val="26"/>
          <w:szCs w:val="26"/>
        </w:rPr>
        <w:t>Kapocs a tudáshoz</w:t>
      </w:r>
    </w:p>
    <w:p w:rsidR="00A37C4D" w:rsidRPr="008720A2" w:rsidRDefault="00A37C4D" w:rsidP="00493853">
      <w:pPr>
        <w:spacing w:after="0"/>
        <w:ind w:left="3544"/>
        <w:rPr>
          <w:rFonts w:ascii="Times New Roman" w:hAnsi="Times New Roman"/>
          <w:color w:val="17375E"/>
          <w:sz w:val="28"/>
          <w:szCs w:val="28"/>
        </w:rPr>
      </w:pPr>
    </w:p>
    <w:p w:rsidR="00CB6F5A" w:rsidRPr="008720A2" w:rsidRDefault="00493853" w:rsidP="00493853">
      <w:pPr>
        <w:spacing w:after="0"/>
        <w:ind w:left="2832"/>
        <w:rPr>
          <w:rFonts w:ascii="Times New Roman" w:eastAsia="SimSun" w:hAnsi="Times New Roman"/>
          <w:bCs/>
          <w:kern w:val="1"/>
          <w:sz w:val="26"/>
          <w:szCs w:val="26"/>
          <w:lang w:eastAsia="hi-IN" w:bidi="hi-IN"/>
        </w:rPr>
        <w:sectPr w:rsidR="00CB6F5A" w:rsidRPr="008720A2" w:rsidSect="00493853">
          <w:headerReference w:type="default" r:id="rId9"/>
          <w:footerReference w:type="even" r:id="rId10"/>
          <w:footerReference w:type="default" r:id="rId11"/>
          <w:pgSz w:w="11906" w:h="16838" w:code="9"/>
          <w:pgMar w:top="1276" w:right="1133" w:bottom="1134" w:left="1418" w:header="709" w:footer="709" w:gutter="0"/>
          <w:cols w:space="708"/>
          <w:titlePg/>
          <w:docGrid w:linePitch="360"/>
        </w:sectPr>
      </w:pPr>
      <w:r w:rsidRPr="008720A2">
        <w:rPr>
          <w:rFonts w:ascii="Times New Roman" w:hAnsi="Times New Roman"/>
          <w:color w:val="17375E"/>
          <w:sz w:val="26"/>
          <w:szCs w:val="26"/>
        </w:rPr>
        <w:t xml:space="preserve">        </w:t>
      </w:r>
    </w:p>
    <w:p w:rsidR="00E84FDE" w:rsidRDefault="00E84FDE" w:rsidP="00E84FDE">
      <w:pPr>
        <w:jc w:val="both"/>
      </w:pPr>
      <w:r>
        <w:lastRenderedPageBreak/>
        <w:t>A Pécsi Tudományegyetem Egyetemi Könyvtár és Tudásközpont (továbbiakban: EKTK) Főigazgatója az EKTK könyvtári hálózatában igénybe vehető egyetemi könyvtári szolgáltatásokra vonatkozó könyvtárhasználati szabályzatot (továbbiakban: EKHSZ), összhangban a hatályos jogszabályokkal, valamint a Pécsi Tudományegyetem Egyetemi Könyvtár és Tudásközpont Szervezeti és Működési Szabályzatával, az alábbiak szerint határozza meg: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1. § (1) Jelen könyvtárhasználati szabályzat (továbbiakban: EKHSZ vagy Szabályzat) a Könyvtárhasználók által a Dél-dunántúli Regionális Könyvtár és Tudásközpont épületén kívül igénybe vehető egyetemi könyvtári és az ezekhez kapcsolódó informatikai szolgáltatások (továbbiakban: szolgáltatások) körét, az igénybevételük módját és a díjak mértékét tartalmazza.</w:t>
      </w:r>
    </w:p>
    <w:p w:rsidR="00E84FDE" w:rsidRDefault="00E84FDE" w:rsidP="00E84FDE">
      <w:pPr>
        <w:jc w:val="both"/>
      </w:pPr>
      <w:r>
        <w:t>(2) A Dél-dunántúli Regionális Könyvtár és Tudásközpont épületén kívül igénybe vehető egyetemi könyvtári szolgáltatások az EKTK könyvtári hálózata által nyújtott integrált könyvtári és informatikai szolgáltatások összessége.</w:t>
      </w:r>
    </w:p>
    <w:p w:rsidR="00E84FDE" w:rsidRDefault="00E84FDE" w:rsidP="00E84FDE">
      <w:pPr>
        <w:jc w:val="both"/>
      </w:pPr>
      <w:r>
        <w:t>(3) A Szabályzat hatálya kiterjed valamennyi Könyvtárhasználóra, aki az 1. § (1)-(2) bekezdésben meghatározott EKTK hálózati könyvtárakat és azok szolgáltatásait igénybe veszi.</w:t>
      </w:r>
    </w:p>
    <w:p w:rsidR="00E84FDE" w:rsidRDefault="00E84FDE" w:rsidP="00E84FDE">
      <w:pPr>
        <w:jc w:val="both"/>
      </w:pPr>
      <w:r>
        <w:t>(4) A Szabályzat hatálya kiterjed az EKTK hálózatának a könyvtári szolgáltatásokkal és azok rendelkezésre bocsátásával, valamint igénybevételével kapcsolatban lévő épületrészeire, helyiségeire, berendezési tárgyaira és eszközeire.</w:t>
      </w:r>
    </w:p>
    <w:p w:rsidR="00E84FDE" w:rsidRDefault="00E84FDE" w:rsidP="00E84FDE">
      <w:pPr>
        <w:jc w:val="both"/>
      </w:pPr>
      <w:r>
        <w:t>(5)A Szabályzat hatálya nem terjed ki az EKTK, valamint a Csorba Győző Könyvtár könyvtári hálózatának azon könyvtáraira (egységeire), amelyek helyileg a Dél-dunántúli Regionális Könyvtár és Tudásközpont épületében találhatóak. Ezeknek a könyvtári egységeknek a könyvtárhasználati szabályzata a „</w:t>
      </w:r>
      <w:proofErr w:type="gramStart"/>
      <w:r>
        <w:t>A</w:t>
      </w:r>
      <w:proofErr w:type="gramEnd"/>
      <w:r>
        <w:t xml:space="preserve"> Csorba Győző Könyvtár és a Pécsi Tudományegyetem Egyetemi Könyvtár és Tudásközpont (PTE Központi Könyvtár és PTE Benedek Ferenc Jogtudományi és Közgazdaságtudományi Szakkönyvtár) Dél-dunántúli Regionális Könyvtár és Tudásközpont épületében működő könyvtárainak közös használati szabályzata” (továbbiakban: TKHSZ), melynek a mindenkor hatályos változata a Tudásközpont honlapján és a regisztrációs pultban is elérhető.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2. § (1) Az EKHSZ által szabályozott könyvtári jogviszonyra és szolgáltatásokra a TKHSZ rendelkezéseit kell alkalmazni, az EKHSZ-</w:t>
      </w:r>
      <w:proofErr w:type="spellStart"/>
      <w:r>
        <w:t>ben</w:t>
      </w:r>
      <w:proofErr w:type="spellEnd"/>
      <w:r>
        <w:t xml:space="preserve"> foglalt eltérésekkel.</w:t>
      </w:r>
    </w:p>
    <w:p w:rsidR="00E84FDE" w:rsidRDefault="00E84FDE" w:rsidP="00E84FDE">
      <w:pPr>
        <w:jc w:val="both"/>
      </w:pPr>
      <w:r>
        <w:t>(2) Az EKTK hálózatának egyes egységeire vonatkozó különös (az általános szabályoktól eltérő) szabályokat az EKHSZ mellékletei tartalmazzák.</w:t>
      </w:r>
    </w:p>
    <w:p w:rsidR="00E84FDE" w:rsidRDefault="00E84FDE" w:rsidP="00E84FDE">
      <w:pPr>
        <w:jc w:val="both"/>
      </w:pPr>
      <w:r>
        <w:t>(3) Az EKHSZ-</w:t>
      </w:r>
      <w:proofErr w:type="spellStart"/>
      <w:r>
        <w:t>ben</w:t>
      </w:r>
      <w:proofErr w:type="spellEnd"/>
      <w:r>
        <w:t xml:space="preserve"> szabályozott jogviszonyokra és szolgáltatásokra nem alkalmazható a TKHSZ preambuluma és I. fejezete.</w:t>
      </w:r>
      <w:bookmarkStart w:id="0" w:name="_Toc454744525"/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Pr="0058132F" w:rsidRDefault="00E84FDE" w:rsidP="00E84FDE">
      <w:pPr>
        <w:jc w:val="both"/>
      </w:pPr>
      <w:r>
        <w:t xml:space="preserve">[A TKHSZ </w:t>
      </w:r>
      <w:r w:rsidRPr="0058132F">
        <w:t>II. fejezet</w:t>
      </w:r>
      <w:r>
        <w:t>éhez</w:t>
      </w:r>
      <w:bookmarkEnd w:id="0"/>
      <w:r>
        <w:t>]</w:t>
      </w:r>
    </w:p>
    <w:p w:rsidR="00E84FDE" w:rsidRDefault="00E84FDE" w:rsidP="00E84FDE">
      <w:pPr>
        <w:jc w:val="both"/>
      </w:pPr>
      <w:r>
        <w:t>3. § (1) A TKHSZ 3. § a) pontját azzal az eltéréssel kell alkalmazni, hogy a Könyvtár fogalma alá csak a Pécsi Tudományegyetem Egyetemi Könyvtár és Tudásközpontnak helyileg a Dél-dunántúli Regionális Könyvtár és Tudásközpont épületén kívül működő egységei tartoznak.</w:t>
      </w:r>
    </w:p>
    <w:p w:rsidR="00E84FDE" w:rsidRDefault="00E84FDE" w:rsidP="00E84FDE">
      <w:pPr>
        <w:jc w:val="both"/>
      </w:pPr>
      <w:r>
        <w:t>(2) A TKHSZ 3. § c) pontja nem alkalmazható. Ahol a későbbi szakaszaiban a TKHSZ könyvtári műszakvezetőt említ, ott az EKHSZ vonatkozásában az EKTK hálózati egységének könyvtári alkalmazottját kell érteni.</w:t>
      </w:r>
    </w:p>
    <w:p w:rsidR="00E84FDE" w:rsidRDefault="00E84FDE" w:rsidP="00E84FDE">
      <w:pPr>
        <w:jc w:val="both"/>
      </w:pPr>
      <w:r>
        <w:t>(3) Ahol a TKHSZ a Dél-dunántúli Regionális Könyvtár és Tudásközpont épületében szolgálatot teljesítő biztonsági személyzet tagját vagy tagjait említi, ott az EKHSZ által szabályozott jogviszonyokkal és szolgáltatásokkal összefüggésben az érintett szakaszokban ezt a kifejezést figyelmen kívül kell hagyni.</w:t>
      </w:r>
    </w:p>
    <w:p w:rsidR="00E84FDE" w:rsidRDefault="00E84FDE" w:rsidP="00E84FDE">
      <w:pPr>
        <w:jc w:val="both"/>
      </w:pPr>
      <w:r>
        <w:t>(4)</w:t>
      </w:r>
      <w:r w:rsidRPr="00FB5D90">
        <w:t xml:space="preserve"> </w:t>
      </w:r>
      <w:r>
        <w:t>Ahol a TKHSZ a Dél-dunántúli Regionális Könyvtár és Tudásközpont épületét vagy helyiségeit említi, ott a Könyvtári hálózat egységeinek helyiségeit kell érteni.</w:t>
      </w:r>
    </w:p>
    <w:p w:rsidR="00E84FDE" w:rsidRDefault="00E84FDE" w:rsidP="00E84FDE">
      <w:pPr>
        <w:jc w:val="both"/>
      </w:pPr>
      <w:r>
        <w:t>(5) Ahol a TKHSZ ingyenes napijegyet, éves látogatójegyet,</w:t>
      </w:r>
      <w:r w:rsidRPr="00E92035">
        <w:t xml:space="preserve"> </w:t>
      </w:r>
      <w:r>
        <w:t>olvasójegyként regisztrált egyéb kártyát, valamint olvasójegyet említ, ott az EKHSZ vonatkozásában ezeknek az érintett könyvtári egység által alkalmazott változatait kell érteni úgy, hogy éves látogatójegy csak a Dél-dunántúli Regionális Könyvtár és Tudásközpontban váltható.</w:t>
      </w:r>
    </w:p>
    <w:p w:rsidR="00E84FDE" w:rsidRDefault="00E84FDE" w:rsidP="00E84FDE">
      <w:pPr>
        <w:jc w:val="both"/>
      </w:pPr>
      <w:r>
        <w:t>(6) Ahol a TKHSZ portát említ, ott a könyvtári egység bejáratánál lévő regisztrációs pultot vagy kölcsönzőpultot kell érteni, ahol a könyvtári alkalmazott a Könyvtárba belépő és az onnan kilépő Könyvtárhasználókat figyelemmel kísérheti.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6. §-</w:t>
      </w:r>
      <w:proofErr w:type="spellStart"/>
      <w:r>
        <w:t>ához</w:t>
      </w:r>
      <w:proofErr w:type="spellEnd"/>
      <w:r>
        <w:t xml:space="preserve">] </w:t>
      </w:r>
    </w:p>
    <w:p w:rsidR="00E84FDE" w:rsidRDefault="00E84FDE" w:rsidP="00E84FDE">
      <w:pPr>
        <w:jc w:val="both"/>
      </w:pPr>
      <w:r>
        <w:t>3/A. § (1) A TKHSZ 6. §-t az alábbi (2) és (3) bekezdésben foglaltakkal kiegészítve kell alkalmazni.</w:t>
      </w:r>
    </w:p>
    <w:p w:rsidR="00E84FDE" w:rsidRDefault="00E84FDE" w:rsidP="00E84FDE">
      <w:pPr>
        <w:jc w:val="both"/>
      </w:pPr>
      <w:r>
        <w:t xml:space="preserve">(2) A Könyvtárhasználó a könyvtári szolgáltatások igénybevétele, az ügyfélszolgálati pontok személyes, távközlési vagy online eszköz igénybevételével történő megkeresése, valamint bejelentéseinek megtétele során </w:t>
      </w:r>
    </w:p>
    <w:p w:rsidR="00E84FDE" w:rsidRDefault="00E84FDE" w:rsidP="00E84FDE">
      <w:pPr>
        <w:jc w:val="both"/>
      </w:pPr>
      <w:proofErr w:type="gramStart"/>
      <w:r>
        <w:t>a</w:t>
      </w:r>
      <w:proofErr w:type="gramEnd"/>
      <w:r>
        <w:t xml:space="preserve">) köteles </w:t>
      </w:r>
      <w:r w:rsidRPr="00944C67">
        <w:t>az adott helyzetben általában e</w:t>
      </w:r>
      <w:r>
        <w:t xml:space="preserve">lvárható magatartást tanúsítani és </w:t>
      </w:r>
      <w:r w:rsidRPr="00944C67">
        <w:t>tartózkodni a rendeltetésellenes és</w:t>
      </w:r>
      <w:r>
        <w:t xml:space="preserve"> visszaélésszerű magatartástól;</w:t>
      </w:r>
    </w:p>
    <w:p w:rsidR="00E84FDE" w:rsidRDefault="00E84FDE" w:rsidP="00E84FDE">
      <w:pPr>
        <w:jc w:val="both"/>
      </w:pPr>
      <w:r>
        <w:t>b) köteles más Könyvtárhasználóknak és a Könyvtár</w:t>
      </w:r>
      <w:r w:rsidRPr="00944C67">
        <w:t xml:space="preserve"> munkatársainak emberi méltó</w:t>
      </w:r>
      <w:r>
        <w:t xml:space="preserve">ságát tiszteletben tartani és </w:t>
      </w:r>
      <w:r w:rsidRPr="00944C67">
        <w:t>személyhez fűződő jogai</w:t>
      </w:r>
      <w:r>
        <w:t>knak</w:t>
      </w:r>
      <w:r w:rsidRPr="00944C67">
        <w:t xml:space="preserve"> megsértésétől tartóz</w:t>
      </w:r>
      <w:r>
        <w:t>kodni;</w:t>
      </w:r>
    </w:p>
    <w:p w:rsidR="00E84FDE" w:rsidRPr="00944C67" w:rsidRDefault="00E84FDE" w:rsidP="00E84FDE">
      <w:pPr>
        <w:jc w:val="both"/>
      </w:pPr>
      <w:r>
        <w:t xml:space="preserve">c) </w:t>
      </w:r>
      <w:r w:rsidRPr="00944C67">
        <w:t>köteles tartózkodni a zaklató, közízlést sértő és az emberi méltóságot sértő magatartástól.</w:t>
      </w:r>
    </w:p>
    <w:p w:rsidR="00E84FDE" w:rsidRDefault="00E84FDE" w:rsidP="00E84FDE">
      <w:pPr>
        <w:jc w:val="both"/>
      </w:pPr>
      <w:r>
        <w:t>(3) Amennyiben a Könyvtárhasználó az előző bekezdésben foglalt kötelezettségeinek nem tesz eleget és a Szabályzatba ütköző magatartásával – a könyvtári alkalmazottak felszólítása ellenére – sem hagy fel, a Könyvtár jogosult a Könyvtárhasználó könyvtárhasználati jogait korlátozni, vagy a könyvtárhasználati jogok gyakorlásának lehetőségét a Könyvtárhasználótól megvonni.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11. §-</w:t>
      </w:r>
      <w:proofErr w:type="spellStart"/>
      <w:r>
        <w:t>ához</w:t>
      </w:r>
      <w:proofErr w:type="spellEnd"/>
      <w:r>
        <w:t xml:space="preserve">] </w:t>
      </w:r>
    </w:p>
    <w:p w:rsidR="00E84FDE" w:rsidRDefault="00E84FDE" w:rsidP="00E84FDE">
      <w:pPr>
        <w:jc w:val="both"/>
      </w:pPr>
      <w:r>
        <w:t>4. § (1) A TKHSZ 11. § (1) bekezdését azzal az eltéréssel kell alkalmazni, hogy a Könyvtár vezetője alatt csak az EKTK főigazgatóját kell érteni.</w:t>
      </w:r>
    </w:p>
    <w:p w:rsidR="00E84FDE" w:rsidRDefault="00E84FDE" w:rsidP="00E84FDE">
      <w:pPr>
        <w:jc w:val="both"/>
      </w:pPr>
      <w:r>
        <w:t>(2) A TKHSZ 11. § (2) bekezdését azzal az eltéréssel kell alkalmazni, hogy az abban foglaltak a Könyvtár vezetőjének jogosultságai.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12.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5. § A TKHSZ 12. §-a nem alkalmazható. A könyvtári hálózat egyes egységeire vonatkozó különös ruhatári és értékmegőrzési szabályokat az EKHSZ mellékletei tartalmazzák.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14/</w:t>
      </w:r>
      <w:proofErr w:type="gramStart"/>
      <w:r>
        <w:t>A</w:t>
      </w:r>
      <w:proofErr w:type="gramEnd"/>
      <w:r>
        <w:t>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5. § A TKHSZ 14/</w:t>
      </w:r>
      <w:proofErr w:type="gramStart"/>
      <w:r>
        <w:t>A</w:t>
      </w:r>
      <w:proofErr w:type="gramEnd"/>
      <w:r>
        <w:t>. § (2) bekezdése nem alkalmazható.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16.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6. § A TKHSZ 16. § (4) és (5) bekezdése nem alkalmazható.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17.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7. § A TKHSZ 17. § (2) bekezdését azzal az eltéréssel kell alkalmazni, hogy a könyvtári helyiségekbe ételt bevinni, ott étkezni és dohányozni tilos. Erre a célra a könyvtári helyiségeknek helyet adó egyetemi épületek kijelölt helyeit lehet használni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19.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 xml:space="preserve">8.§ A TKHSZ 19. § (1) bekezdését azzal az eltéréssel kell alkalmazni, hogy a könyvtári egységekben jövedelemszerzés vagy jövedelemfokozás céljából készítendő kép vagy hangfelvétel készítésére a Könyvtár főigazgatója ad engedélyt 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23.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10. § (1) A Könyvtár helyiségeiben képfelvétel rögzítésére és tárolására alkalmas biztonságtechnikai rendszer működhet. Ennek tényéről az adott egység bejáratánál elhelyezett piktogram tájékoztatja a belépő személyeket.</w:t>
      </w:r>
    </w:p>
    <w:p w:rsidR="00E84FDE" w:rsidRDefault="00E84FDE" w:rsidP="00E84FDE">
      <w:pPr>
        <w:jc w:val="both"/>
      </w:pPr>
      <w:r>
        <w:t>(2) A könyvtári egységben működő biztonságtechnikai rendszer személy- és vagyonvédelmi, bűnmegelőzési és balesetvédelmi célból teszi lehetővé a Könyvtár épületének, helyiségeinek, tereinek folyamatos megfigyelését és rögzít személyes adatokat.</w:t>
      </w:r>
    </w:p>
    <w:p w:rsidR="00E84FDE" w:rsidRDefault="00E84FDE" w:rsidP="00E84FDE">
      <w:pPr>
        <w:jc w:val="both"/>
      </w:pPr>
      <w:r>
        <w:t>(3) A rögzített, személyes adatokat tartalmazó felvételek kezelésére vonatkozó helyi szabályokat az EKHSZ mellékletei tartalmazzák.</w:t>
      </w:r>
    </w:p>
    <w:p w:rsidR="00E84FDE" w:rsidRDefault="00E84FDE" w:rsidP="00E84FDE">
      <w:pPr>
        <w:jc w:val="both"/>
      </w:pPr>
      <w:r>
        <w:t>(4) A TKHSZ 27. §-a nem alkalmazható.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bookmarkStart w:id="1" w:name="_Toc454744532"/>
      <w:r>
        <w:t>[A TKHSZ VIII-X. fejezetéhez]</w:t>
      </w:r>
      <w:bookmarkEnd w:id="1"/>
    </w:p>
    <w:p w:rsidR="00E84FDE" w:rsidRDefault="00E84FDE" w:rsidP="00E84FDE">
      <w:pPr>
        <w:spacing w:before="100" w:beforeAutospacing="1" w:after="100" w:afterAutospacing="1"/>
        <w:jc w:val="both"/>
      </w:pPr>
      <w:r>
        <w:t>11. § A TKHSZ VIII., IX. és X. fejezete nem alkalmazható.</w:t>
      </w:r>
    </w:p>
    <w:p w:rsidR="00E84FDE" w:rsidRPr="00EA0BF8" w:rsidRDefault="00E84FDE" w:rsidP="00E84FDE">
      <w:r w:rsidRPr="00EA0BF8">
        <w:t>[A TKHSZ 55. §-</w:t>
      </w:r>
      <w:proofErr w:type="spellStart"/>
      <w:r w:rsidRPr="00EA0BF8">
        <w:t>ához</w:t>
      </w:r>
      <w:proofErr w:type="spellEnd"/>
      <w:r w:rsidRPr="00EA0BF8">
        <w:t>]</w:t>
      </w:r>
    </w:p>
    <w:p w:rsidR="00E84FDE" w:rsidRPr="00EA0BF8" w:rsidRDefault="00E84FDE" w:rsidP="00E84FDE">
      <w:pPr>
        <w:jc w:val="both"/>
      </w:pPr>
      <w:r w:rsidRPr="00EA0BF8">
        <w:t>12. § A TKHSZ 55. § h), i) és j) pontja nem alkalmazható.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61.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13. § A TKHSZ 61. § (1) bekezdés d), h), i) és j) pont nem alkalmazható.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67.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14. § A TKHSZ 67. § (6) bekezdése azzal az eltéréssel alkalmazható, hogy a Könyvtár az elvesztett vagy eltulajdonított ingyenes napijegyet, éves látogatójegyet,</w:t>
      </w:r>
      <w:r w:rsidRPr="00E92035">
        <w:t xml:space="preserve"> </w:t>
      </w:r>
      <w:r>
        <w:t>olvasójegyként regisztrált egyéb kártyát, valamint olvasójegyet – a visszaélések megakadályozása végett – késedelem nélkül alkalmatlanná teszi a könyvtári szolgáltatások igénybevételére és – ha ez szükséges és lehetséges – a könyvtári helyiségekbe történő belépésre.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67/</w:t>
      </w:r>
      <w:proofErr w:type="gramStart"/>
      <w:r>
        <w:t>A</w:t>
      </w:r>
      <w:proofErr w:type="gramEnd"/>
      <w:r>
        <w:t>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15. § A TKHSZ 67/</w:t>
      </w:r>
      <w:proofErr w:type="gramStart"/>
      <w:r>
        <w:t>A</w:t>
      </w:r>
      <w:proofErr w:type="gramEnd"/>
      <w:r>
        <w:t>. § nem alkalmazható.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68.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16. § A TKHSZ 68. § (2) bekezdését azzal az eltéréssel kell alkalmazni, hogy kölcsönözni csak a kölcsönzőpultnál lehet.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77.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jc w:val="both"/>
      </w:pPr>
      <w:r>
        <w:t>17. § A TKHSZ 77. §-t alkalmazni kell az EKHSZ hatálya alá tartozó könyvtári egységekre is.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88. §-</w:t>
      </w:r>
      <w:proofErr w:type="spellStart"/>
      <w:r>
        <w:t>ához</w:t>
      </w:r>
      <w:proofErr w:type="spellEnd"/>
      <w:r>
        <w:t>]</w:t>
      </w:r>
    </w:p>
    <w:p w:rsidR="00E84FDE" w:rsidRDefault="00E84FDE" w:rsidP="00E84FDE">
      <w:pPr>
        <w:pStyle w:val="WW-Alaprtelmezett"/>
        <w:spacing w:line="360" w:lineRule="auto"/>
        <w:jc w:val="both"/>
        <w:rPr>
          <w:rFonts w:eastAsia="Times New Roman"/>
          <w:kern w:val="1"/>
        </w:rPr>
      </w:pPr>
      <w:r>
        <w:rPr>
          <w:rFonts w:eastAsia="Times New Roman"/>
          <w:kern w:val="1"/>
        </w:rPr>
        <w:t>18. § A TKHSZ 88. § (2) bekezdésének a) pontját azzal az eltéréssel kell alkalmazni, hogy a szabályzat nyilvánosságra hozatalának helye az Egyetemi Könyvtár és Tudásközpont honlapja.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>[A TKHSZ mellékleteihez]</w:t>
      </w:r>
    </w:p>
    <w:p w:rsidR="00E84FDE" w:rsidRDefault="00E84FDE" w:rsidP="00E84FDE">
      <w:pPr>
        <w:jc w:val="both"/>
      </w:pPr>
      <w:r>
        <w:t>19. § (1) A TKHSZ 1. számú mellékletét azzal az eltéréssel kell alkalmazni, hogy a könyvtári hálózat Dél-dunántúli Regionális Könyvtár és Tudásközponton kívüli egységeiben éves látogatójegy nem váltható.</w:t>
      </w:r>
    </w:p>
    <w:p w:rsidR="00E84FDE" w:rsidRDefault="00E84FDE" w:rsidP="00E84FDE">
      <w:pPr>
        <w:jc w:val="both"/>
      </w:pPr>
      <w:r>
        <w:t>(2) A TKHSZ 1. számú melléklet VI. részét azzal az eltéréssel kell alkalmazni, hogy a Fénymásoló Pont alatt a könyvtárosok által végzett reprográfiai tevékenységet kell érteni, és a Helyismereti Gyűjtemény című oszlopot és a Csorba Győző Könyvtárra történő egyéb utalásokat figyelmen kívül kell hagyni.</w:t>
      </w:r>
    </w:p>
    <w:p w:rsidR="00E84FDE" w:rsidRDefault="00E84FDE" w:rsidP="00E84FDE">
      <w:pPr>
        <w:jc w:val="both"/>
      </w:pPr>
      <w:r>
        <w:t>(3) A TKHSZ 2. számú mellékletét azzal az eltéréssel kell alkalmazni, hogy a könyvtárközi kölcsönzés szabályait az Egyetemi Könyvtár és Tudásközpont Főigazgatója határozza meg.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</w:p>
    <w:p w:rsidR="00E84FDE" w:rsidRDefault="00E84FDE" w:rsidP="00E84FDE">
      <w:pPr>
        <w:tabs>
          <w:tab w:val="center" w:pos="1701"/>
          <w:tab w:val="center" w:pos="6804"/>
        </w:tabs>
        <w:jc w:val="both"/>
      </w:pPr>
      <w:r>
        <w:tab/>
        <w:t>Szeberényi Gábor</w:t>
      </w:r>
      <w:r>
        <w:tab/>
      </w:r>
    </w:p>
    <w:p w:rsidR="00E84FDE" w:rsidRDefault="00E84FDE" w:rsidP="00E84FDE">
      <w:pPr>
        <w:tabs>
          <w:tab w:val="center" w:pos="1701"/>
          <w:tab w:val="center" w:pos="6804"/>
        </w:tabs>
        <w:jc w:val="both"/>
      </w:pPr>
      <w:r>
        <w:tab/>
      </w:r>
      <w:proofErr w:type="gramStart"/>
      <w:r>
        <w:t>főigazgató</w:t>
      </w:r>
      <w:proofErr w:type="gramEnd"/>
      <w:r>
        <w:tab/>
      </w:r>
    </w:p>
    <w:p w:rsidR="00E84FDE" w:rsidRDefault="00E84FDE" w:rsidP="00E84FDE">
      <w:pPr>
        <w:tabs>
          <w:tab w:val="center" w:pos="1701"/>
          <w:tab w:val="center" w:pos="6804"/>
        </w:tabs>
        <w:jc w:val="both"/>
      </w:pPr>
      <w:r>
        <w:tab/>
        <w:t>PTE Egyetemi Könyvtár és Tudásközpont</w:t>
      </w:r>
    </w:p>
    <w:p w:rsidR="00E84FDE" w:rsidRDefault="00E84FDE" w:rsidP="00E84FDE">
      <w:pPr>
        <w:tabs>
          <w:tab w:val="center" w:pos="1701"/>
          <w:tab w:val="center" w:pos="6804"/>
        </w:tabs>
        <w:jc w:val="both"/>
      </w:pPr>
    </w:p>
    <w:p w:rsidR="00E84FDE" w:rsidRDefault="00E84FDE" w:rsidP="00E84FDE">
      <w:pPr>
        <w:spacing w:line="240" w:lineRule="auto"/>
      </w:pPr>
      <w:r>
        <w:br w:type="page"/>
      </w:r>
    </w:p>
    <w:p w:rsidR="00E84FDE" w:rsidRPr="009F510A" w:rsidRDefault="00E84FDE" w:rsidP="00E84FDE">
      <w:pPr>
        <w:jc w:val="both"/>
        <w:rPr>
          <w:b/>
          <w:sz w:val="32"/>
          <w:szCs w:val="32"/>
        </w:rPr>
      </w:pPr>
      <w:r w:rsidRPr="009F510A">
        <w:rPr>
          <w:b/>
          <w:sz w:val="32"/>
          <w:szCs w:val="32"/>
        </w:rPr>
        <w:t>EKHSZ MELLÉKLETEK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>
        <w:t xml:space="preserve">1. sz. melléklet Központi Könyvtár </w:t>
      </w:r>
      <w:r w:rsidRPr="00F16493">
        <w:t>Történeti Gyűjtemények Osztálya</w:t>
      </w:r>
    </w:p>
    <w:p w:rsidR="00E84FDE" w:rsidRDefault="00E84FDE" w:rsidP="00E84FDE">
      <w:pPr>
        <w:jc w:val="both"/>
      </w:pPr>
      <w:r>
        <w:t xml:space="preserve">2. sz. melléklet </w:t>
      </w:r>
      <w:r w:rsidRPr="00F16493">
        <w:t>Pekár Mihály Orvosi és Élettudományi Szakkönyvtár</w:t>
      </w:r>
    </w:p>
    <w:p w:rsidR="00E84FDE" w:rsidRDefault="00E84FDE" w:rsidP="00E84FDE">
      <w:pPr>
        <w:jc w:val="both"/>
      </w:pPr>
      <w:r>
        <w:t xml:space="preserve">3. sz. melléklet </w:t>
      </w:r>
      <w:r w:rsidRPr="00F16493">
        <w:t>Tóth József Bölcsészettudományi és Természettudományi Kari Szakkönyvtár</w:t>
      </w:r>
    </w:p>
    <w:p w:rsidR="00E84FDE" w:rsidRDefault="00E84FDE" w:rsidP="00E84FDE">
      <w:pPr>
        <w:jc w:val="both"/>
      </w:pPr>
      <w:r>
        <w:t xml:space="preserve">4. sz. melléklet </w:t>
      </w:r>
      <w:r w:rsidRPr="00F16493">
        <w:t>Egészségtudományi Kar Pécsi Könyvtára</w:t>
      </w:r>
    </w:p>
    <w:p w:rsidR="00E84FDE" w:rsidRDefault="00E84FDE" w:rsidP="00E84FDE">
      <w:pPr>
        <w:tabs>
          <w:tab w:val="center" w:pos="1701"/>
          <w:tab w:val="center" w:pos="6804"/>
        </w:tabs>
        <w:jc w:val="both"/>
      </w:pPr>
      <w:r>
        <w:tab/>
      </w:r>
    </w:p>
    <w:p w:rsidR="00E84FDE" w:rsidRDefault="00E84FDE" w:rsidP="00E84FDE">
      <w:pPr>
        <w:jc w:val="both"/>
      </w:pPr>
    </w:p>
    <w:p w:rsidR="00E84FDE" w:rsidRDefault="00E84FDE" w:rsidP="00E84FDE">
      <w:pPr>
        <w:spacing w:line="240" w:lineRule="auto"/>
      </w:pPr>
      <w:r>
        <w:br w:type="page"/>
      </w:r>
    </w:p>
    <w:p w:rsidR="00E84FDE" w:rsidRDefault="00E84FDE" w:rsidP="00E84FDE">
      <w:pPr>
        <w:jc w:val="both"/>
        <w:rPr>
          <w:b/>
        </w:rPr>
      </w:pPr>
      <w:r>
        <w:rPr>
          <w:b/>
        </w:rPr>
        <w:t xml:space="preserve">1. </w:t>
      </w:r>
      <w:r w:rsidRPr="00536852">
        <w:rPr>
          <w:b/>
        </w:rPr>
        <w:t>sz. melléklet</w:t>
      </w:r>
      <w:r>
        <w:rPr>
          <w:b/>
        </w:rPr>
        <w:t xml:space="preserve"> Történeti Gyűjtemények Osztálya </w:t>
      </w:r>
      <w:proofErr w:type="spellStart"/>
      <w:r>
        <w:rPr>
          <w:b/>
        </w:rPr>
        <w:t>különgyűjteményeinek</w:t>
      </w:r>
      <w:proofErr w:type="spellEnd"/>
      <w:r>
        <w:rPr>
          <w:b/>
        </w:rPr>
        <w:t xml:space="preserve"> kutatási szabályzata</w:t>
      </w:r>
    </w:p>
    <w:p w:rsidR="00E84FDE" w:rsidRDefault="00E84FDE" w:rsidP="00E84FDE">
      <w:pPr>
        <w:jc w:val="both"/>
        <w:rPr>
          <w:b/>
        </w:rPr>
      </w:pPr>
    </w:p>
    <w:p w:rsidR="00E84FDE" w:rsidRPr="00BF628F" w:rsidRDefault="00E84FDE" w:rsidP="00E84FDE">
      <w:pPr>
        <w:jc w:val="both"/>
      </w:pPr>
      <w:r w:rsidRPr="00BF628F">
        <w:t>1. §</w:t>
      </w:r>
      <w:r w:rsidRPr="00BF628F">
        <w:tab/>
        <w:t xml:space="preserve">Muzeális gyűjtemény (A nemzeti kulturális örökség miniszter 22/2005. (VII. 18.) NKÖM rendelete alapján) </w:t>
      </w:r>
    </w:p>
    <w:p w:rsidR="00E84FDE" w:rsidRPr="00BF628F" w:rsidRDefault="00E84FDE" w:rsidP="00E84FDE">
      <w:pPr>
        <w:pStyle w:val="Listaszerbekezds"/>
        <w:numPr>
          <w:ilvl w:val="1"/>
          <w:numId w:val="22"/>
        </w:numPr>
        <w:spacing w:after="0" w:line="360" w:lineRule="auto"/>
        <w:contextualSpacing/>
        <w:jc w:val="both"/>
      </w:pPr>
      <w:proofErr w:type="spellStart"/>
      <w:r w:rsidRPr="00BF628F">
        <w:t>Klimo</w:t>
      </w:r>
      <w:proofErr w:type="spellEnd"/>
      <w:r w:rsidRPr="00BF628F">
        <w:t xml:space="preserve"> Könyvtár és a Kanonoki Gyűjtemény (60 000-es gépszámok alatt)</w:t>
      </w:r>
    </w:p>
    <w:p w:rsidR="00E84FDE" w:rsidRPr="00BF628F" w:rsidRDefault="00E84FDE" w:rsidP="00E84FDE">
      <w:pPr>
        <w:pStyle w:val="Listaszerbekezds"/>
        <w:numPr>
          <w:ilvl w:val="1"/>
          <w:numId w:val="22"/>
        </w:numPr>
        <w:spacing w:after="0" w:line="360" w:lineRule="auto"/>
        <w:contextualSpacing/>
        <w:jc w:val="both"/>
      </w:pPr>
      <w:r w:rsidRPr="00BF628F">
        <w:t>Országgyűlési Gyűjtemény</w:t>
      </w:r>
    </w:p>
    <w:p w:rsidR="00E84FDE" w:rsidRPr="00BF628F" w:rsidRDefault="00E84FDE" w:rsidP="00E84FDE">
      <w:pPr>
        <w:pStyle w:val="Listaszerbekezds"/>
        <w:numPr>
          <w:ilvl w:val="1"/>
          <w:numId w:val="22"/>
        </w:numPr>
        <w:spacing w:after="0" w:line="360" w:lineRule="auto"/>
        <w:contextualSpacing/>
        <w:jc w:val="both"/>
      </w:pPr>
      <w:r w:rsidRPr="00BF628F">
        <w:t>A hajdani püspöki könyvtár Kézirattára</w:t>
      </w:r>
    </w:p>
    <w:p w:rsidR="00E84FDE" w:rsidRPr="00BF628F" w:rsidRDefault="00E84FDE" w:rsidP="00E84FDE">
      <w:pPr>
        <w:pStyle w:val="Listaszerbekezds"/>
        <w:numPr>
          <w:ilvl w:val="1"/>
          <w:numId w:val="22"/>
        </w:numPr>
        <w:spacing w:after="0" w:line="360" w:lineRule="auto"/>
        <w:contextualSpacing/>
        <w:jc w:val="both"/>
      </w:pPr>
      <w:r w:rsidRPr="00BF628F">
        <w:t>A hajdani püspöki könyvtár Irattára</w:t>
      </w:r>
    </w:p>
    <w:p w:rsidR="00E84FDE" w:rsidRPr="00BF628F" w:rsidRDefault="00E84FDE" w:rsidP="00E84FDE">
      <w:pPr>
        <w:pStyle w:val="Listaszerbekezds"/>
        <w:numPr>
          <w:ilvl w:val="1"/>
          <w:numId w:val="22"/>
        </w:numPr>
        <w:spacing w:after="0" w:line="360" w:lineRule="auto"/>
        <w:contextualSpacing/>
        <w:jc w:val="both"/>
      </w:pPr>
      <w:r w:rsidRPr="00BF628F">
        <w:t xml:space="preserve">Az egyetemi könyvtár állományához tartozó, a NKÖM rendelet alapján muzeális könyvtári </w:t>
      </w:r>
      <w:proofErr w:type="gramStart"/>
      <w:r w:rsidRPr="00BF628F">
        <w:t>dokumentumnak</w:t>
      </w:r>
      <w:proofErr w:type="gramEnd"/>
      <w:r w:rsidRPr="00BF628F">
        <w:t xml:space="preserve"> nyilvánított könyvek és folyóiratok (1851 előtti)</w:t>
      </w:r>
    </w:p>
    <w:p w:rsidR="00E84FDE" w:rsidRPr="00BF628F" w:rsidRDefault="00E84FDE" w:rsidP="00E84FDE">
      <w:pPr>
        <w:pStyle w:val="Listaszerbekezds"/>
        <w:numPr>
          <w:ilvl w:val="1"/>
          <w:numId w:val="22"/>
        </w:numPr>
        <w:spacing w:after="0" w:line="360" w:lineRule="auto"/>
        <w:contextualSpacing/>
        <w:jc w:val="both"/>
      </w:pPr>
      <w:r w:rsidRPr="00BF628F">
        <w:t xml:space="preserve">A Pécsi Egyetemtörténeti Gyűjtemény </w:t>
      </w:r>
      <w:proofErr w:type="gramStart"/>
      <w:r w:rsidRPr="00BF628F">
        <w:t>dokumentumai</w:t>
      </w:r>
      <w:proofErr w:type="gramEnd"/>
      <w:r w:rsidRPr="00BF628F">
        <w:t>, műtárgyai</w:t>
      </w:r>
    </w:p>
    <w:p w:rsidR="00E84FDE" w:rsidRPr="00BF628F" w:rsidRDefault="00E84FDE" w:rsidP="00E84FDE">
      <w:pPr>
        <w:pStyle w:val="Listaszerbekezds"/>
        <w:numPr>
          <w:ilvl w:val="1"/>
          <w:numId w:val="22"/>
        </w:numPr>
        <w:spacing w:after="0" w:line="360" w:lineRule="auto"/>
        <w:contextualSpacing/>
        <w:jc w:val="both"/>
      </w:pPr>
      <w:r w:rsidRPr="00BF628F">
        <w:t>Mátyás Flórián Könyvtára</w:t>
      </w:r>
    </w:p>
    <w:p w:rsidR="00E84FDE" w:rsidRPr="00BF628F" w:rsidRDefault="00E84FDE" w:rsidP="00E84FDE">
      <w:pPr>
        <w:pStyle w:val="Listaszerbekezds"/>
        <w:numPr>
          <w:ilvl w:val="1"/>
          <w:numId w:val="22"/>
        </w:numPr>
        <w:spacing w:after="0" w:line="360" w:lineRule="auto"/>
        <w:contextualSpacing/>
        <w:jc w:val="both"/>
      </w:pPr>
      <w:r w:rsidRPr="00BF628F">
        <w:t>Reuter-hagyaték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 w:rsidRPr="00BF628F">
        <w:t>2. § Nem muzeális gyűjtemény</w:t>
      </w:r>
    </w:p>
    <w:p w:rsidR="00E84FDE" w:rsidRPr="00BF628F" w:rsidRDefault="00E84FDE" w:rsidP="00E84FDE">
      <w:pPr>
        <w:pStyle w:val="Listaszerbekezds"/>
        <w:numPr>
          <w:ilvl w:val="0"/>
          <w:numId w:val="23"/>
        </w:numPr>
        <w:spacing w:after="0" w:line="360" w:lineRule="auto"/>
        <w:contextualSpacing/>
        <w:jc w:val="both"/>
      </w:pPr>
      <w:r w:rsidRPr="00BF628F">
        <w:t>Segédkönyvtár</w:t>
      </w:r>
    </w:p>
    <w:p w:rsidR="00E84FDE" w:rsidRPr="00BF628F" w:rsidRDefault="00E84FDE" w:rsidP="00E84FDE">
      <w:pPr>
        <w:pStyle w:val="Listaszerbekezds"/>
        <w:numPr>
          <w:ilvl w:val="0"/>
          <w:numId w:val="23"/>
        </w:numPr>
        <w:spacing w:after="0" w:line="360" w:lineRule="auto"/>
        <w:contextualSpacing/>
        <w:jc w:val="both"/>
      </w:pPr>
      <w:r w:rsidRPr="00BF628F">
        <w:t xml:space="preserve">A pécsi egyetem Kisebbségi Intézetének Könyvtára és </w:t>
      </w:r>
      <w:proofErr w:type="spellStart"/>
      <w:r w:rsidRPr="00BF628F">
        <w:t>sajtókivágat</w:t>
      </w:r>
      <w:proofErr w:type="spellEnd"/>
      <w:r w:rsidRPr="00BF628F">
        <w:t>-gyűjteménye</w:t>
      </w:r>
    </w:p>
    <w:p w:rsidR="00E84FDE" w:rsidRPr="00BF628F" w:rsidRDefault="00E84FDE" w:rsidP="00E84FDE">
      <w:pPr>
        <w:pStyle w:val="Listaszerbekezds"/>
        <w:numPr>
          <w:ilvl w:val="0"/>
          <w:numId w:val="23"/>
        </w:numPr>
        <w:spacing w:after="0" w:line="360" w:lineRule="auto"/>
        <w:contextualSpacing/>
        <w:jc w:val="both"/>
      </w:pPr>
      <w:r w:rsidRPr="00BF628F">
        <w:t xml:space="preserve">Kerényi Károly Könyvtárának kiemelt </w:t>
      </w:r>
      <w:proofErr w:type="gramStart"/>
      <w:r w:rsidRPr="00BF628F">
        <w:t>dokumentumai</w:t>
      </w:r>
      <w:proofErr w:type="gramEnd"/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 w:rsidRPr="00BF628F">
        <w:t xml:space="preserve">3. § A </w:t>
      </w:r>
      <w:proofErr w:type="spellStart"/>
      <w:r w:rsidRPr="00BF628F">
        <w:t>különgyűjteményeket</w:t>
      </w:r>
      <w:proofErr w:type="spellEnd"/>
      <w:r w:rsidRPr="00BF628F">
        <w:t xml:space="preserve"> az egyetem polgárai és a könyvtárba beiratkozott külső kutatók – érvényes olvasójegy és/vagy a kutatási engedély birtokában – a 47/2001. sz. kormányrendelet 4. §-</w:t>
      </w:r>
      <w:proofErr w:type="gramStart"/>
      <w:r w:rsidRPr="00BF628F">
        <w:t>a</w:t>
      </w:r>
      <w:proofErr w:type="gramEnd"/>
      <w:r w:rsidRPr="00BF628F">
        <w:t xml:space="preserve"> alapján használhatják a kutatószobában, könyvtárosi felügyelet mellett.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 w:rsidRPr="00BF628F">
        <w:t>4. § A muzeális gyűjtemények használatára vonatkozó szabályok:</w:t>
      </w:r>
    </w:p>
    <w:p w:rsidR="00E84FDE" w:rsidRPr="00BF628F" w:rsidRDefault="00E84FDE" w:rsidP="00E84FDE">
      <w:pPr>
        <w:jc w:val="both"/>
      </w:pPr>
      <w:r w:rsidRPr="00BF628F">
        <w:t>(1) A kutató első kutatási napján köteles a kutatói személylapon feltüntetni adatait, valamint kutatási témáját és céljait megadni (Ezt minden naptári évben, valamint minden további témaváltozásnál köteles ismételten megtenni.)</w:t>
      </w:r>
    </w:p>
    <w:p w:rsidR="00E84FDE" w:rsidRPr="00BF628F" w:rsidRDefault="00E84FDE" w:rsidP="00E84FDE">
      <w:pPr>
        <w:jc w:val="both"/>
      </w:pPr>
      <w:r w:rsidRPr="00BF628F">
        <w:t xml:space="preserve">(2) A kutató naponta aláírja a használók nyilvántartására bevezetett kutatónaplóban, hogy mely </w:t>
      </w:r>
      <w:proofErr w:type="gramStart"/>
      <w:r w:rsidRPr="00BF628F">
        <w:t>dokumentumokat</w:t>
      </w:r>
      <w:proofErr w:type="gramEnd"/>
      <w:r w:rsidRPr="00BF628F">
        <w:t xml:space="preserve"> használta.</w:t>
      </w:r>
    </w:p>
    <w:p w:rsidR="00E84FDE" w:rsidRPr="00BF628F" w:rsidRDefault="00E84FDE" w:rsidP="00E84FDE">
      <w:pPr>
        <w:jc w:val="both"/>
      </w:pPr>
      <w:r w:rsidRPr="00BF628F">
        <w:t>(3) Jegyzetelés ősnyomtatványok kutatása esetén kizárólag ceruzával végezhető.</w:t>
      </w:r>
    </w:p>
    <w:p w:rsidR="00E84FDE" w:rsidRPr="00BF628F" w:rsidRDefault="00E84FDE" w:rsidP="00E84FDE">
      <w:pPr>
        <w:jc w:val="both"/>
      </w:pPr>
      <w:r w:rsidRPr="00BF628F">
        <w:t xml:space="preserve">(4) Amennyiben a kért </w:t>
      </w:r>
      <w:proofErr w:type="gramStart"/>
      <w:r w:rsidRPr="00BF628F">
        <w:t>dokumentumról</w:t>
      </w:r>
      <w:proofErr w:type="gramEnd"/>
      <w:r w:rsidRPr="00BF628F">
        <w:t xml:space="preserve"> a könyvtár birtokában van megfelelő minőségű másolat, az eredeti dokumentum helyett állományvédelmi okokból a másolat bocsátható a kutató rendelkezésére.</w:t>
      </w:r>
    </w:p>
    <w:p w:rsidR="00E84FDE" w:rsidRPr="00BF628F" w:rsidRDefault="00E84FDE" w:rsidP="00E84FDE">
      <w:pPr>
        <w:jc w:val="both"/>
      </w:pPr>
      <w:r w:rsidRPr="00BF628F">
        <w:t xml:space="preserve">(5) Amennyiben a kért </w:t>
      </w:r>
      <w:proofErr w:type="gramStart"/>
      <w:r w:rsidRPr="00BF628F">
        <w:t>dokumentum</w:t>
      </w:r>
      <w:proofErr w:type="gramEnd"/>
      <w:r w:rsidRPr="00BF628F">
        <w:t xml:space="preserve"> sérült, rongálódott, a könyvtár nem köteles azt a kutató rendelkezésére bocsátani.</w:t>
      </w:r>
    </w:p>
    <w:p w:rsidR="00E84FDE" w:rsidRPr="00BF628F" w:rsidRDefault="00E84FDE" w:rsidP="00E84FDE">
      <w:pPr>
        <w:jc w:val="both"/>
      </w:pPr>
      <w:r w:rsidRPr="00BF628F">
        <w:t xml:space="preserve">(6) Amennyiben a kutató a számára kiadott </w:t>
      </w:r>
      <w:proofErr w:type="gramStart"/>
      <w:r w:rsidRPr="00BF628F">
        <w:t>dokumentumok</w:t>
      </w:r>
      <w:proofErr w:type="gramEnd"/>
      <w:r w:rsidRPr="00BF628F">
        <w:t xml:space="preserve"> kutatását az első alkalommal nem fejezi be, kérésére az ügyeletes az anyagot félreteszi. Ha a megkezdett kutatást az olvasó a kikérés idejétől számított második hétfőig nem folytatja, a </w:t>
      </w:r>
      <w:proofErr w:type="gramStart"/>
      <w:r w:rsidRPr="00BF628F">
        <w:t>dokumentumot</w:t>
      </w:r>
      <w:proofErr w:type="gramEnd"/>
      <w:r w:rsidRPr="00BF628F">
        <w:t xml:space="preserve"> állományvédelmi okokból a </w:t>
      </w:r>
      <w:proofErr w:type="spellStart"/>
      <w:r w:rsidRPr="00BF628F">
        <w:t>kutatótermi</w:t>
      </w:r>
      <w:proofErr w:type="spellEnd"/>
      <w:r w:rsidRPr="00BF628F">
        <w:t xml:space="preserve"> könyvtáros visszateszi a helyére.</w:t>
      </w:r>
    </w:p>
    <w:p w:rsidR="00E84FDE" w:rsidRPr="00BF628F" w:rsidRDefault="00E84FDE" w:rsidP="00E84FDE">
      <w:pPr>
        <w:jc w:val="both"/>
      </w:pPr>
      <w:r w:rsidRPr="00BF628F">
        <w:t>(7) A kutatóterem anyagának felhasználásával készült munkák bibliográfiai adatait a kutatónak egy hónapon belül közölni kell a Pécsi Tudományegyetem Egyetemi Könyvtár és Tudásközponttal.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 w:rsidRPr="00BF628F">
        <w:t>5. § A nem muzeális gyűjtemények használatára vonatkozó szabályok:</w:t>
      </w:r>
    </w:p>
    <w:p w:rsidR="00E84FDE" w:rsidRPr="00BF628F" w:rsidRDefault="00E84FDE" w:rsidP="00E84FDE">
      <w:pPr>
        <w:jc w:val="both"/>
      </w:pPr>
      <w:r w:rsidRPr="00BF628F">
        <w:t xml:space="preserve">(1) A Segédkönyvtár, a pécsi egyetem Kisebbségi Intézetének Könyvtára és </w:t>
      </w:r>
      <w:proofErr w:type="spellStart"/>
      <w:r w:rsidRPr="00BF628F">
        <w:t>sajtókivágat</w:t>
      </w:r>
      <w:proofErr w:type="spellEnd"/>
      <w:r w:rsidRPr="00BF628F">
        <w:t xml:space="preserve">-gyűjteménye, a Kerényi Károly Könyvtárának kiemelt </w:t>
      </w:r>
      <w:proofErr w:type="gramStart"/>
      <w:r w:rsidRPr="00BF628F">
        <w:t>dokumentumai</w:t>
      </w:r>
      <w:proofErr w:type="gramEnd"/>
      <w:r w:rsidRPr="00BF628F">
        <w:t>, valamint a Reuter-hagyaték kötetei szintén a kutatószobában használhatók, annak nyitvatartási ideje alatt.</w:t>
      </w:r>
    </w:p>
    <w:p w:rsidR="00E84FDE" w:rsidRPr="00BF628F" w:rsidRDefault="00E84FDE" w:rsidP="00E84FDE">
      <w:pPr>
        <w:jc w:val="both"/>
      </w:pPr>
      <w:r w:rsidRPr="00BF628F">
        <w:t xml:space="preserve">(2) Az olvasó köteles a használt </w:t>
      </w:r>
      <w:proofErr w:type="gramStart"/>
      <w:r w:rsidRPr="00BF628F">
        <w:t>dokumentum</w:t>
      </w:r>
      <w:proofErr w:type="gramEnd"/>
      <w:r w:rsidRPr="00BF628F">
        <w:t xml:space="preserve">(ok) fizikai állapotát megőrizni, valamint körültekintő, gondos használatot biztosítani. Azokra rákönyökölni és bármiféle saját megjegyzést rávezetni tilos! A </w:t>
      </w:r>
      <w:proofErr w:type="gramStart"/>
      <w:r w:rsidRPr="00BF628F">
        <w:t>dokumentumot</w:t>
      </w:r>
      <w:proofErr w:type="gramEnd"/>
      <w:r w:rsidRPr="00BF628F">
        <w:t xml:space="preserve"> megrongáló olvasó a könyvtári kutatásból kizárható!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 w:rsidRPr="00BF628F">
        <w:t>6. § Másolatkészítés:</w:t>
      </w:r>
    </w:p>
    <w:p w:rsidR="00E84FDE" w:rsidRPr="00BF628F" w:rsidRDefault="00E84FDE" w:rsidP="00E84FDE">
      <w:pPr>
        <w:jc w:val="both"/>
      </w:pPr>
      <w:r w:rsidRPr="00BF628F">
        <w:t xml:space="preserve">(1) 1900 előtti </w:t>
      </w:r>
      <w:proofErr w:type="gramStart"/>
      <w:r w:rsidRPr="00BF628F">
        <w:t>dokumentumból</w:t>
      </w:r>
      <w:proofErr w:type="gramEnd"/>
      <w:r w:rsidRPr="00BF628F">
        <w:t>, állományvédelmi okokból fénymásolat nem készíthető! Ezekről digitális másolat igényelhető. A másolat a mennyiségtől függően 2 munkanapon belül készül el.</w:t>
      </w:r>
    </w:p>
    <w:p w:rsidR="00E84FDE" w:rsidRPr="00BF628F" w:rsidRDefault="00E84FDE" w:rsidP="00E84FDE">
      <w:pPr>
        <w:jc w:val="both"/>
      </w:pPr>
      <w:r w:rsidRPr="00BF628F">
        <w:t xml:space="preserve">(2) Az 1851 és 1900 között készült </w:t>
      </w:r>
      <w:proofErr w:type="gramStart"/>
      <w:r w:rsidRPr="00BF628F">
        <w:t>dokumentumokról</w:t>
      </w:r>
      <w:proofErr w:type="gramEnd"/>
      <w:r w:rsidRPr="00BF628F">
        <w:t xml:space="preserve"> lehetőség van saját digitális fényképezőgéppel való másolat készítésére a </w:t>
      </w:r>
      <w:proofErr w:type="spellStart"/>
      <w:r w:rsidRPr="00BF628F">
        <w:t>kutatótermi</w:t>
      </w:r>
      <w:proofErr w:type="spellEnd"/>
      <w:r w:rsidRPr="00BF628F">
        <w:t xml:space="preserve"> könyvtáros felügyeletével.</w:t>
      </w:r>
    </w:p>
    <w:p w:rsidR="00E84FDE" w:rsidRPr="00BF628F" w:rsidRDefault="00E84FDE" w:rsidP="00E84FDE">
      <w:pPr>
        <w:jc w:val="both"/>
      </w:pPr>
      <w:r w:rsidRPr="00BF628F">
        <w:t xml:space="preserve">(3) A Segédkönyvtári </w:t>
      </w:r>
      <w:proofErr w:type="gramStart"/>
      <w:r w:rsidRPr="00BF628F">
        <w:t>dokumentumok</w:t>
      </w:r>
      <w:proofErr w:type="gramEnd"/>
      <w:r w:rsidRPr="00BF628F">
        <w:t>, valamint a nem muzeális gyűjtemények anyagának másolására is az 1900-as cezúra érvényes.</w:t>
      </w:r>
    </w:p>
    <w:p w:rsidR="00E84FDE" w:rsidRPr="00BF628F" w:rsidRDefault="00E84FDE" w:rsidP="00E84FDE">
      <w:pPr>
        <w:jc w:val="both"/>
      </w:pPr>
      <w:r w:rsidRPr="00BF628F">
        <w:t>(4) Másolható az Országgyűlési Gyűjtemény, valamint a Rendeletek Tára 1900 utáni anyaga.</w:t>
      </w:r>
    </w:p>
    <w:p w:rsidR="00E84FDE" w:rsidRPr="00BF628F" w:rsidRDefault="00E84FDE" w:rsidP="00E84FDE">
      <w:pPr>
        <w:jc w:val="both"/>
      </w:pPr>
      <w:r w:rsidRPr="00BF628F">
        <w:t xml:space="preserve">(5) A szabályzat alapján másolható </w:t>
      </w:r>
      <w:proofErr w:type="gramStart"/>
      <w:r w:rsidRPr="00BF628F">
        <w:t>dokumentumot</w:t>
      </w:r>
      <w:proofErr w:type="gramEnd"/>
      <w:r w:rsidRPr="00BF628F">
        <w:t xml:space="preserve"> az állapotára való tekintettel a könyvtáros visszatarthatja.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 w:rsidRPr="00BF628F">
        <w:t xml:space="preserve">7. § A TKHSZ 16. § (5) bekezdését azzal az eltéréssel kell alkalmazni, hogy a Könyvtárba kabátot és táskát bevinni tilos. 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 w:rsidRPr="00BF628F">
        <w:t>8. § A TKHSZ 17. §-t azzal az eltéréssel kell alkalmazni, hogy a kutatóterembe innivalót és ételt bevinni tilos.</w:t>
      </w:r>
    </w:p>
    <w:p w:rsidR="00E84FDE" w:rsidRDefault="00E84FDE" w:rsidP="00E84FDE">
      <w:pPr>
        <w:spacing w:line="240" w:lineRule="auto"/>
        <w:rPr>
          <w:b/>
        </w:rPr>
      </w:pPr>
      <w:r>
        <w:rPr>
          <w:b/>
        </w:rPr>
        <w:br w:type="page"/>
      </w:r>
    </w:p>
    <w:p w:rsidR="00E84FDE" w:rsidRDefault="00E84FDE" w:rsidP="00E84FDE">
      <w:pPr>
        <w:spacing w:line="240" w:lineRule="auto"/>
        <w:rPr>
          <w:b/>
        </w:rPr>
      </w:pPr>
      <w:r>
        <w:rPr>
          <w:b/>
        </w:rPr>
        <w:t>2. sz. melléklet Pekár Mihály Orvosi és Élettudományi Szakkönyvtár</w:t>
      </w:r>
    </w:p>
    <w:p w:rsidR="00E84FDE" w:rsidRDefault="00E84FDE" w:rsidP="00E84FDE">
      <w:pPr>
        <w:spacing w:line="240" w:lineRule="auto"/>
        <w:rPr>
          <w:b/>
        </w:rPr>
      </w:pPr>
    </w:p>
    <w:p w:rsidR="00E84FDE" w:rsidRDefault="00E84FDE" w:rsidP="00E84FDE">
      <w:pPr>
        <w:jc w:val="both"/>
        <w:rPr>
          <w:b/>
        </w:rPr>
      </w:pPr>
    </w:p>
    <w:p w:rsidR="00E84FDE" w:rsidRDefault="00E84FDE" w:rsidP="00E84FDE">
      <w:pPr>
        <w:jc w:val="both"/>
      </w:pPr>
      <w:r w:rsidRPr="00BF628F">
        <w:t xml:space="preserve">1. § </w:t>
      </w:r>
      <w:r>
        <w:t>(1) Az EKHSZ 3. § (5) bekezdését azzal az eltéréssel kell alkalmazni, hogy éves látogatójegy a Pekár Mihály Orvosi és Élettudományi Szakkönyvtárban is váltható.</w:t>
      </w:r>
    </w:p>
    <w:p w:rsidR="00E84FDE" w:rsidRDefault="00E84FDE" w:rsidP="00E84FDE">
      <w:pPr>
        <w:jc w:val="both"/>
      </w:pPr>
      <w:r>
        <w:t>(2) Az EKHSZ 19. § (1) bekezdése nem alkalmazható.</w:t>
      </w:r>
    </w:p>
    <w:p w:rsidR="00E84FDE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>
        <w:t xml:space="preserve">2. § </w:t>
      </w:r>
      <w:r w:rsidRPr="00BF628F">
        <w:t xml:space="preserve">A TKHSZ 3. § f) pontját azzal az eltéréssel kell alkalmazni, hogy a könyvtári </w:t>
      </w:r>
      <w:proofErr w:type="gramStart"/>
      <w:r w:rsidRPr="00BF628F">
        <w:t>dokumentum</w:t>
      </w:r>
      <w:proofErr w:type="gramEnd"/>
      <w:r w:rsidRPr="00BF628F">
        <w:t xml:space="preserve"> fogalmához hozzátartoznak a „tárgy” dokumentumtípussal katalogizált orvosi szemléltető eszközök is.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  <w:rPr>
          <w:b/>
        </w:rPr>
      </w:pPr>
      <w:r>
        <w:t>3. § A TKHSZ 13</w:t>
      </w:r>
      <w:r w:rsidRPr="005227E5">
        <w:t>. § (4) bekezdését azzal a kiegészítéssel kell alkalmazni, hogy a Könyvtári</w:t>
      </w:r>
      <w:r>
        <w:rPr>
          <w:b/>
        </w:rPr>
        <w:t xml:space="preserve"> </w:t>
      </w:r>
      <w:r w:rsidRPr="005227E5">
        <w:t xml:space="preserve">alkalmazottak a Könyvtár zárását követően </w:t>
      </w:r>
      <w:r>
        <w:t>– jegyzőkönyv felvétele mellett – az épület portáján leadják</w:t>
      </w:r>
      <w:r w:rsidRPr="005227E5">
        <w:t xml:space="preserve"> a</w:t>
      </w:r>
      <w:r>
        <w:t xml:space="preserve"> Könyvtárhasználók tulajdonában lévő, általuk a Könyvtárban hagyott értékesnek ítélt dolgokat és értéktárgyakat.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>
        <w:t>4</w:t>
      </w:r>
      <w:r w:rsidRPr="00BF628F">
        <w:t>.</w:t>
      </w:r>
      <w:r>
        <w:t xml:space="preserve"> </w:t>
      </w:r>
      <w:r w:rsidRPr="00BF628F">
        <w:t xml:space="preserve">§ A TKHSZ 16. § (5) bekezdését azzal az eltéréssel kell alkalmazni, hogy a Könyvtárba kabátot és táskát – a laptoptáska és a 25*25 cm-es méretnél nem nagyobb kézitáska kivételével – bevinni tilos. 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>
        <w:t>5</w:t>
      </w:r>
      <w:r w:rsidRPr="00BF628F">
        <w:t>. § A TKHSZ 22. § (1) bekezdését azzal a kiegészítéssel kell alkalmazni, hogy a Könyvtárhasználó a Könyvtárba történő belépéskor felszólítás nélkül köteles napijegyét, olvasójegyként regisztrált egyéb kártyáját, valamint olvasójegyét bemutatni.</w:t>
      </w:r>
    </w:p>
    <w:p w:rsidR="00E84FDE" w:rsidRPr="00BF628F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>
        <w:t>6</w:t>
      </w:r>
      <w:r w:rsidRPr="00BF628F">
        <w:t>. § A Könyvtárban üzemeltetett képfelvétel rögzítésére és tárolására alkalmas biztonságtechnikai rendszer által rögzített személyes adatokat a Pécsi Tudományegyetem Munkabiztonsági Koordinációs Osztályának erre kijelölt munkatársa kezelheti.</w:t>
      </w:r>
    </w:p>
    <w:p w:rsidR="00E84FDE" w:rsidRPr="00BF628F" w:rsidRDefault="00E84FDE" w:rsidP="00E84FDE">
      <w:pPr>
        <w:jc w:val="both"/>
      </w:pPr>
    </w:p>
    <w:p w:rsidR="00E84FDE" w:rsidRPr="005451ED" w:rsidRDefault="00E84FDE" w:rsidP="00E84FDE">
      <w:pPr>
        <w:jc w:val="both"/>
      </w:pPr>
      <w:r>
        <w:t>7</w:t>
      </w:r>
      <w:r w:rsidRPr="005451ED">
        <w:t xml:space="preserve">. § (1) A TKHSZ. 1. sz. mellékletének III. pontját azzal az eltéréssel kell alkalmazni, hogy a </w:t>
      </w:r>
      <w:proofErr w:type="spellStart"/>
      <w:r w:rsidRPr="005451ED">
        <w:t>kutatótermi</w:t>
      </w:r>
      <w:proofErr w:type="spellEnd"/>
      <w:r w:rsidRPr="005451ED">
        <w:t xml:space="preserve"> </w:t>
      </w:r>
      <w:proofErr w:type="gramStart"/>
      <w:r w:rsidRPr="005451ED">
        <w:t>dokumentumok</w:t>
      </w:r>
      <w:proofErr w:type="gramEnd"/>
      <w:r w:rsidRPr="005451ED">
        <w:t xml:space="preserve"> és a kötelespéldányként beszerzett dokumentumok csak 2 hétre kölcsönözhetően és a késedelmi díj ezek esetében 50 Ft/</w:t>
      </w:r>
      <w:r>
        <w:t>dokument</w:t>
      </w:r>
      <w:r w:rsidRPr="005451ED">
        <w:t>um/nap.</w:t>
      </w:r>
    </w:p>
    <w:p w:rsidR="00E84FDE" w:rsidRPr="005451ED" w:rsidRDefault="00E84FDE" w:rsidP="00E84FDE">
      <w:pPr>
        <w:jc w:val="both"/>
      </w:pPr>
      <w:r w:rsidRPr="005451ED">
        <w:t xml:space="preserve">(2) Az </w:t>
      </w:r>
      <w:proofErr w:type="spellStart"/>
      <w:r w:rsidRPr="005451ED">
        <w:t>olvasótermi</w:t>
      </w:r>
      <w:proofErr w:type="spellEnd"/>
      <w:r w:rsidRPr="005451ED">
        <w:t xml:space="preserve"> könyveket a PTE hallgatók a Könyvtár zárásától a következő nyitásig kölcsönözhetik. A késedelmi díj ezek esetében 50 Ft/</w:t>
      </w:r>
      <w:proofErr w:type="gramStart"/>
      <w:r w:rsidRPr="005451ED">
        <w:t>dokumentum</w:t>
      </w:r>
      <w:proofErr w:type="gramEnd"/>
      <w:r w:rsidRPr="005451ED">
        <w:t>/óra.</w:t>
      </w:r>
    </w:p>
    <w:p w:rsidR="00E84FDE" w:rsidRDefault="00E84FDE" w:rsidP="00E84FDE">
      <w:pPr>
        <w:spacing w:line="240" w:lineRule="auto"/>
        <w:rPr>
          <w:b/>
        </w:rPr>
      </w:pPr>
      <w:r>
        <w:rPr>
          <w:b/>
        </w:rPr>
        <w:br w:type="page"/>
      </w:r>
    </w:p>
    <w:p w:rsidR="00E84FDE" w:rsidRPr="00536852" w:rsidRDefault="00E84FDE" w:rsidP="00E84FDE">
      <w:pPr>
        <w:jc w:val="both"/>
        <w:rPr>
          <w:b/>
        </w:rPr>
      </w:pPr>
      <w:r w:rsidRPr="00536852">
        <w:rPr>
          <w:b/>
        </w:rPr>
        <w:t>3. sz. melléklet Tóth József Bölcsészettudományi és Természettudományi Kari Szakkönyvtár</w:t>
      </w:r>
    </w:p>
    <w:p w:rsidR="00E84FDE" w:rsidRDefault="00E84FDE" w:rsidP="00E84FDE">
      <w:pPr>
        <w:jc w:val="both"/>
      </w:pPr>
    </w:p>
    <w:p w:rsidR="00E84FDE" w:rsidRDefault="00E84FDE" w:rsidP="00E84FDE">
      <w:pPr>
        <w:jc w:val="both"/>
      </w:pPr>
      <w:r w:rsidRPr="00BF628F">
        <w:t xml:space="preserve">1. § </w:t>
      </w:r>
      <w:r>
        <w:t>A TKHSZ 14. § (3) bekezdése nem alkalmazható.</w:t>
      </w:r>
    </w:p>
    <w:p w:rsidR="00E84FDE" w:rsidRDefault="00E84FDE" w:rsidP="00E84FDE">
      <w:pPr>
        <w:jc w:val="both"/>
      </w:pPr>
    </w:p>
    <w:p w:rsidR="00E84FDE" w:rsidRPr="00BF628F" w:rsidRDefault="00E84FDE" w:rsidP="00E84FDE">
      <w:pPr>
        <w:jc w:val="both"/>
      </w:pPr>
      <w:r>
        <w:t xml:space="preserve">2. § </w:t>
      </w:r>
      <w:r w:rsidRPr="00BF628F">
        <w:t xml:space="preserve">(1) A TKHSZ 16. § (5) bekezdését azzal az eltéréssel kell alkalmazni, hogy a Könyvtárba kabátot és táskát – a 25*30 cm-es méretnél nem nagyobb kézitáska kivételével – bevinni tilos. </w:t>
      </w:r>
    </w:p>
    <w:p w:rsidR="00E84FDE" w:rsidRPr="00BF628F" w:rsidRDefault="00E84FDE" w:rsidP="00E84FDE">
      <w:r w:rsidRPr="00BF628F">
        <w:t>(2) A Könyvtár bejáratánál fogasok és polcok állnak a Könyvtárhasználók rendelkezésére a táskák és kabátok elhelyezésére, de ezeket mindenki csak saját felelősségére használhatja. A Könyvtár az itt elhelyezett tárgyakért és értékekért nem vállal felelősséget.</w:t>
      </w:r>
    </w:p>
    <w:p w:rsidR="00E84FDE" w:rsidRPr="00BF628F" w:rsidRDefault="00E84FDE" w:rsidP="00E84FDE">
      <w:r w:rsidRPr="00BF628F">
        <w:t>(3) A (2) bekezdésben szabályozott fogasok és polcok területén képfelvétel rögzítésére és tárolására alkalmas elektronikus biztonságtechnikai rendszer üzemel. A rendszer általa készített</w:t>
      </w:r>
      <w:r>
        <w:t xml:space="preserve"> kamerafelvételeket a Könyvtár 3</w:t>
      </w:r>
      <w:r w:rsidRPr="00BF628F">
        <w:t xml:space="preserve"> napig őrzi meg, majd végleg </w:t>
      </w:r>
      <w:proofErr w:type="spellStart"/>
      <w:r w:rsidRPr="00BF628F">
        <w:t>törli</w:t>
      </w:r>
      <w:proofErr w:type="spellEnd"/>
      <w:r w:rsidRPr="00BF628F">
        <w:t xml:space="preserve">. A Könyvtár akkor nem </w:t>
      </w:r>
      <w:proofErr w:type="spellStart"/>
      <w:r w:rsidRPr="00BF628F">
        <w:t>törli</w:t>
      </w:r>
      <w:proofErr w:type="spellEnd"/>
      <w:r w:rsidRPr="00BF628F">
        <w:t xml:space="preserve"> a felvételeket, ha jogszabály így rendelkezik, vagy azokat személy- és vagyonvédelmi, bűnmegelőzési vagy balesetvédelmi célból meg kell őrizni.</w:t>
      </w:r>
    </w:p>
    <w:p w:rsidR="00E84FDE" w:rsidRPr="00BF628F" w:rsidRDefault="00E84FDE" w:rsidP="00E84FDE"/>
    <w:p w:rsidR="00E84FDE" w:rsidRDefault="00E84FDE" w:rsidP="00E84FDE">
      <w:r>
        <w:t>3</w:t>
      </w:r>
      <w:r w:rsidRPr="00BF628F">
        <w:t xml:space="preserve">. § </w:t>
      </w:r>
      <w:r>
        <w:t xml:space="preserve">(1) A TKHSZ 54. § (1) bekezdését azzal az eltéréssel kell alkalmazni, hogy a beiratkozáshoz nem kötött ingyenes alapszolgáltatások köre egy h) pontban kiegészül a számítógép- és internethasználattal. </w:t>
      </w:r>
    </w:p>
    <w:p w:rsidR="00E84FDE" w:rsidRDefault="00E84FDE" w:rsidP="00E84FDE">
      <w:r>
        <w:t>(2) A TKHSZ 54. § (3) bekezdését azzal az eltéréssel kell alkalmazni, hogy az ingyenes alapszolgáltatásokat bárki igénybe veheti napijegy, olvasójegy, vagy olvasójegyként regisztrált egyéb kártya nélkül is.</w:t>
      </w:r>
    </w:p>
    <w:p w:rsidR="00E84FDE" w:rsidRDefault="00E84FDE" w:rsidP="00E84FDE">
      <w:r>
        <w:t>(3) A TKHSZ 61. § (1) bekezdés e) pontját és a 80. § (2) bekezdés a) és b) pontját nem lehet alkalmazni.</w:t>
      </w:r>
    </w:p>
    <w:p w:rsidR="00E84FDE" w:rsidRDefault="00E84FDE" w:rsidP="00E84FDE"/>
    <w:p w:rsidR="00E84FDE" w:rsidRDefault="00E84FDE" w:rsidP="00E84FDE">
      <w:r>
        <w:t>4. § A TKHSZ 58. § (1) bekezdését azzal az eltéréssel kell alkalmazni, hogy a Könyvtár számára megbízás nem adható magáncélú másolási feladatokra, mert a Könyvtárban csak önkiszolgáló fénymásolásra van lehetőség.</w:t>
      </w:r>
    </w:p>
    <w:p w:rsidR="00E84FDE" w:rsidRDefault="00E84FDE" w:rsidP="00E84FDE">
      <w:r>
        <w:t xml:space="preserve"> </w:t>
      </w:r>
    </w:p>
    <w:p w:rsidR="00E84FDE" w:rsidRPr="00BF628F" w:rsidRDefault="00E84FDE" w:rsidP="00E84FDE">
      <w:r>
        <w:t xml:space="preserve">5. § </w:t>
      </w:r>
      <w:r w:rsidRPr="00BF628F">
        <w:t>(1) A TKHSZ 1. sz. mellékletének II. pontját azzal az eltéréssel kell alkalmazni, hogy a helyi olvasójegy pótlásának díja 350 Ft.</w:t>
      </w:r>
    </w:p>
    <w:p w:rsidR="00E84FDE" w:rsidRDefault="00E84FDE" w:rsidP="00E84FDE">
      <w:pPr>
        <w:rPr>
          <w:b/>
        </w:rPr>
      </w:pPr>
      <w:r w:rsidRPr="00BF628F">
        <w:t>(2) A TKHSZ 1. sz. mellékletének VI. pontját azzal az el</w:t>
      </w:r>
      <w:r>
        <w:t>téréssel kell alkalmazni, hogy</w:t>
      </w:r>
      <w:r w:rsidRPr="00BF628F">
        <w:t xml:space="preserve"> </w:t>
      </w:r>
      <w:r>
        <w:t xml:space="preserve">hőkötésre, laminálásra, </w:t>
      </w:r>
      <w:proofErr w:type="spellStart"/>
      <w:proofErr w:type="gramStart"/>
      <w:r>
        <w:t>spirálozásra</w:t>
      </w:r>
      <w:proofErr w:type="spellEnd"/>
      <w:proofErr w:type="gramEnd"/>
      <w:r>
        <w:t xml:space="preserve">, </w:t>
      </w:r>
      <w:r w:rsidRPr="00BF628F">
        <w:t xml:space="preserve">önkiszolgáló </w:t>
      </w:r>
      <w:proofErr w:type="spellStart"/>
      <w:r w:rsidRPr="00BF628F">
        <w:t>szkennelésre</w:t>
      </w:r>
      <w:proofErr w:type="spellEnd"/>
      <w:r w:rsidRPr="00BF628F">
        <w:t xml:space="preserve"> nincs lehetőség é</w:t>
      </w:r>
      <w:r>
        <w:t xml:space="preserve">s a </w:t>
      </w:r>
      <w:proofErr w:type="spellStart"/>
      <w:r>
        <w:t>szkennelés</w:t>
      </w:r>
      <w:proofErr w:type="spellEnd"/>
      <w:r>
        <w:t xml:space="preserve"> díja 20 Ft/oldal, továbbá fénymásolni csak önkiszolgáló módon lehet.</w:t>
      </w:r>
    </w:p>
    <w:p w:rsidR="00E84FDE" w:rsidRDefault="00E84FDE" w:rsidP="00E84FDE">
      <w:pPr>
        <w:spacing w:line="240" w:lineRule="auto"/>
        <w:rPr>
          <w:b/>
        </w:rPr>
      </w:pPr>
      <w:bookmarkStart w:id="2" w:name="_GoBack"/>
      <w:bookmarkEnd w:id="2"/>
      <w:r>
        <w:rPr>
          <w:b/>
        </w:rPr>
        <w:br w:type="page"/>
      </w:r>
    </w:p>
    <w:p w:rsidR="00E84FDE" w:rsidRDefault="00E84FDE" w:rsidP="00E84FDE">
      <w:pPr>
        <w:rPr>
          <w:b/>
        </w:rPr>
      </w:pPr>
      <w:r>
        <w:rPr>
          <w:b/>
        </w:rPr>
        <w:t xml:space="preserve">4. </w:t>
      </w:r>
      <w:r w:rsidRPr="00536852">
        <w:rPr>
          <w:b/>
        </w:rPr>
        <w:t>sz. melléklet</w:t>
      </w:r>
      <w:r>
        <w:rPr>
          <w:b/>
        </w:rPr>
        <w:t xml:space="preserve"> Egészségtudományi Kar Pécsi Könyvtára</w:t>
      </w:r>
    </w:p>
    <w:p w:rsidR="00E84FDE" w:rsidRDefault="00E84FDE" w:rsidP="00E84FDE">
      <w:pPr>
        <w:rPr>
          <w:b/>
        </w:rPr>
      </w:pPr>
    </w:p>
    <w:p w:rsidR="00E84FDE" w:rsidRPr="00BF628F" w:rsidRDefault="00E84FDE" w:rsidP="00E84FDE">
      <w:pPr>
        <w:jc w:val="both"/>
      </w:pPr>
      <w:r w:rsidRPr="00BF628F">
        <w:t xml:space="preserve">1. § A TKHSZ 16. § (5) bekezdését azzal az eltéréssel kell alkalmazni, hogy a Könyvtárba kabátot és táskát bevinni tilos. </w:t>
      </w:r>
    </w:p>
    <w:p w:rsidR="00E84FDE" w:rsidRDefault="00E84FDE" w:rsidP="00E84FDE">
      <w:pPr>
        <w:jc w:val="both"/>
        <w:rPr>
          <w:b/>
        </w:rPr>
      </w:pPr>
    </w:p>
    <w:p w:rsidR="005C6CD1" w:rsidRDefault="005C6CD1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p w:rsidR="00F947A6" w:rsidRPr="008720A2" w:rsidRDefault="00F947A6" w:rsidP="0087552A">
      <w:pPr>
        <w:rPr>
          <w:rFonts w:ascii="Times New Roman" w:eastAsia="SimSun" w:hAnsi="Times New Roman"/>
          <w:bCs/>
          <w:kern w:val="1"/>
          <w:sz w:val="24"/>
          <w:szCs w:val="24"/>
          <w:lang w:eastAsia="hi-IN" w:bidi="hi-IN"/>
        </w:rPr>
      </w:pPr>
    </w:p>
    <w:sectPr w:rsidR="00F947A6" w:rsidRPr="008720A2" w:rsidSect="00792412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03AD" w:rsidRDefault="002C03AD">
      <w:r>
        <w:separator/>
      </w:r>
    </w:p>
  </w:endnote>
  <w:endnote w:type="continuationSeparator" w:id="0">
    <w:p w:rsidR="002C03AD" w:rsidRDefault="002C03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6F5A" w:rsidRDefault="00CB6F5A" w:rsidP="00D9608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CB6F5A" w:rsidRDefault="00CB6F5A" w:rsidP="002A7896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6F5A" w:rsidRPr="001B41C9" w:rsidRDefault="001B41C9" w:rsidP="00170511">
    <w:pPr>
      <w:pStyle w:val="llb"/>
      <w:pBdr>
        <w:top w:val="single" w:sz="4" w:space="1" w:color="auto"/>
      </w:pBdr>
      <w:rPr>
        <w:sz w:val="22"/>
        <w:szCs w:val="22"/>
      </w:rPr>
    </w:pPr>
    <w:r>
      <w:rPr>
        <w:rStyle w:val="Oldalszm"/>
        <w:sz w:val="22"/>
        <w:szCs w:val="22"/>
      </w:rPr>
      <w:t>EKHSZ_20200922_vegleges</w:t>
    </w:r>
    <w:r w:rsidR="00CB6F5A">
      <w:tab/>
    </w:r>
    <w:r w:rsidR="00CB6F5A">
      <w:tab/>
    </w:r>
    <w:r w:rsidR="00CB6F5A">
      <w:rPr>
        <w:rStyle w:val="Oldalszm"/>
      </w:rPr>
      <w:fldChar w:fldCharType="begin"/>
    </w:r>
    <w:r w:rsidR="00CB6F5A">
      <w:rPr>
        <w:rStyle w:val="Oldalszm"/>
      </w:rPr>
      <w:instrText xml:space="preserve"> PAGE </w:instrText>
    </w:r>
    <w:r w:rsidR="00CB6F5A">
      <w:rPr>
        <w:rStyle w:val="Oldalszm"/>
      </w:rPr>
      <w:fldChar w:fldCharType="separate"/>
    </w:r>
    <w:r w:rsidR="00351DF0">
      <w:rPr>
        <w:rStyle w:val="Oldalszm"/>
        <w:noProof/>
      </w:rPr>
      <w:t>12</w:t>
    </w:r>
    <w:r w:rsidR="00CB6F5A">
      <w:rPr>
        <w:rStyle w:val="Oldalszm"/>
      </w:rPr>
      <w:fldChar w:fldCharType="end"/>
    </w:r>
    <w:r w:rsidR="00CB6F5A">
      <w:rPr>
        <w:rStyle w:val="Oldalszm"/>
      </w:rPr>
      <w:t>/</w:t>
    </w:r>
    <w:r w:rsidR="00CB6F5A">
      <w:rPr>
        <w:rStyle w:val="Oldalszm"/>
      </w:rPr>
      <w:fldChar w:fldCharType="begin"/>
    </w:r>
    <w:r w:rsidR="00CB6F5A">
      <w:rPr>
        <w:rStyle w:val="Oldalszm"/>
      </w:rPr>
      <w:instrText xml:space="preserve"> NUMPAGES  \# "0"  \* MERGEFORMAT </w:instrText>
    </w:r>
    <w:r w:rsidR="00CB6F5A">
      <w:rPr>
        <w:rStyle w:val="Oldalszm"/>
      </w:rPr>
      <w:fldChar w:fldCharType="separate"/>
    </w:r>
    <w:r w:rsidR="00351DF0">
      <w:rPr>
        <w:rStyle w:val="Oldalszm"/>
        <w:noProof/>
      </w:rPr>
      <w:t>12</w:t>
    </w:r>
    <w:r w:rsidR="00CB6F5A">
      <w:rPr>
        <w:rStyle w:val="Oldalszm"/>
      </w:rPr>
      <w:fldChar w:fldCharType="end"/>
    </w:r>
  </w:p>
  <w:p w:rsidR="00CB6F5A" w:rsidRDefault="00CB6F5A" w:rsidP="002A7896">
    <w:pPr>
      <w:pStyle w:val="llb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03AD" w:rsidRDefault="002C03AD">
      <w:r>
        <w:separator/>
      </w:r>
    </w:p>
  </w:footnote>
  <w:footnote w:type="continuationSeparator" w:id="0">
    <w:p w:rsidR="002C03AD" w:rsidRDefault="002C03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6F5A" w:rsidRPr="008720A2" w:rsidRDefault="00CB6F5A" w:rsidP="00170511">
    <w:pPr>
      <w:pBdr>
        <w:bottom w:val="single" w:sz="4" w:space="1" w:color="auto"/>
      </w:pBdr>
      <w:rPr>
        <w:rFonts w:ascii="Times New Roman" w:hAnsi="Times New Roman"/>
      </w:rPr>
    </w:pPr>
    <w:r w:rsidRPr="008720A2">
      <w:rPr>
        <w:rFonts w:ascii="Times New Roman" w:eastAsia="SimSun" w:hAnsi="Times New Roman"/>
        <w:bCs/>
        <w:kern w:val="1"/>
        <w:lang w:eastAsia="hi-IN" w:bidi="hi-IN"/>
      </w:rPr>
      <w:t>Pécsi Tudományegyetem Egyetemi Könyvtár és Tudásközpont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decimal"/>
      <w:lvlText w:val="%1. lépés"/>
      <w:lvlJc w:val="left"/>
      <w:pPr>
        <w:tabs>
          <w:tab w:val="num" w:pos="0"/>
        </w:tabs>
        <w:ind w:left="720" w:hanging="360"/>
      </w:pPr>
    </w:lvl>
  </w:abstractNum>
  <w:abstractNum w:abstractNumId="3" w15:restartNumberingAfterBreak="0">
    <w:nsid w:val="02E23DD8"/>
    <w:multiLevelType w:val="hybridMultilevel"/>
    <w:tmpl w:val="9C32CB80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B13698"/>
    <w:multiLevelType w:val="hybridMultilevel"/>
    <w:tmpl w:val="E578C5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A3468"/>
    <w:multiLevelType w:val="hybridMultilevel"/>
    <w:tmpl w:val="546C0A7A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50040E"/>
    <w:multiLevelType w:val="hybridMultilevel"/>
    <w:tmpl w:val="96E4405E"/>
    <w:lvl w:ilvl="0" w:tplc="46DA6876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28C309B2"/>
    <w:multiLevelType w:val="hybridMultilevel"/>
    <w:tmpl w:val="312A65F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236AE4"/>
    <w:multiLevelType w:val="hybridMultilevel"/>
    <w:tmpl w:val="FFEA4BE2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8C0976"/>
    <w:multiLevelType w:val="hybridMultilevel"/>
    <w:tmpl w:val="57BE8A5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973CFC"/>
    <w:multiLevelType w:val="hybridMultilevel"/>
    <w:tmpl w:val="9C6A0D9C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9F0616"/>
    <w:multiLevelType w:val="hybridMultilevel"/>
    <w:tmpl w:val="6D3627D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46DA6876">
      <w:start w:val="1"/>
      <w:numFmt w:val="bullet"/>
      <w:lvlText w:val=""/>
      <w:lvlJc w:val="left"/>
      <w:pPr>
        <w:ind w:left="1785" w:hanging="705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752A3"/>
    <w:multiLevelType w:val="hybridMultilevel"/>
    <w:tmpl w:val="04F8D66E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E44DA3"/>
    <w:multiLevelType w:val="hybridMultilevel"/>
    <w:tmpl w:val="65305430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733D3"/>
    <w:multiLevelType w:val="hybridMultilevel"/>
    <w:tmpl w:val="AE3A5B7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7950B1"/>
    <w:multiLevelType w:val="hybridMultilevel"/>
    <w:tmpl w:val="D482154A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497E49"/>
    <w:multiLevelType w:val="hybridMultilevel"/>
    <w:tmpl w:val="0DF02AA4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2946DF"/>
    <w:multiLevelType w:val="hybridMultilevel"/>
    <w:tmpl w:val="6032EB3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A25BAC"/>
    <w:multiLevelType w:val="hybridMultilevel"/>
    <w:tmpl w:val="433CD58A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7A0D4D"/>
    <w:multiLevelType w:val="hybridMultilevel"/>
    <w:tmpl w:val="D29432C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7E54F4"/>
    <w:multiLevelType w:val="hybridMultilevel"/>
    <w:tmpl w:val="D3C6F03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7700DC"/>
    <w:multiLevelType w:val="hybridMultilevel"/>
    <w:tmpl w:val="3B14ED4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17489D"/>
    <w:multiLevelType w:val="hybridMultilevel"/>
    <w:tmpl w:val="ECBEF5BA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15"/>
  </w:num>
  <w:num w:numId="6">
    <w:abstractNumId w:val="13"/>
  </w:num>
  <w:num w:numId="7">
    <w:abstractNumId w:val="21"/>
  </w:num>
  <w:num w:numId="8">
    <w:abstractNumId w:val="14"/>
  </w:num>
  <w:num w:numId="9">
    <w:abstractNumId w:val="17"/>
  </w:num>
  <w:num w:numId="10">
    <w:abstractNumId w:val="19"/>
  </w:num>
  <w:num w:numId="11">
    <w:abstractNumId w:val="9"/>
  </w:num>
  <w:num w:numId="12">
    <w:abstractNumId w:val="20"/>
  </w:num>
  <w:num w:numId="13">
    <w:abstractNumId w:val="4"/>
  </w:num>
  <w:num w:numId="14">
    <w:abstractNumId w:val="8"/>
  </w:num>
  <w:num w:numId="15">
    <w:abstractNumId w:val="10"/>
  </w:num>
  <w:num w:numId="16">
    <w:abstractNumId w:val="16"/>
  </w:num>
  <w:num w:numId="17">
    <w:abstractNumId w:val="3"/>
  </w:num>
  <w:num w:numId="18">
    <w:abstractNumId w:val="12"/>
  </w:num>
  <w:num w:numId="19">
    <w:abstractNumId w:val="18"/>
  </w:num>
  <w:num w:numId="20">
    <w:abstractNumId w:val="5"/>
  </w:num>
  <w:num w:numId="21">
    <w:abstractNumId w:val="22"/>
  </w:num>
  <w:num w:numId="22">
    <w:abstractNumId w:val="11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3AD"/>
    <w:rsid w:val="0001555E"/>
    <w:rsid w:val="00050574"/>
    <w:rsid w:val="00056DB7"/>
    <w:rsid w:val="00096833"/>
    <w:rsid w:val="000A6FC6"/>
    <w:rsid w:val="000B0952"/>
    <w:rsid w:val="000B4F3E"/>
    <w:rsid w:val="000E5DD6"/>
    <w:rsid w:val="000F118F"/>
    <w:rsid w:val="001B2674"/>
    <w:rsid w:val="001B41C9"/>
    <w:rsid w:val="001E6B8A"/>
    <w:rsid w:val="00201AA6"/>
    <w:rsid w:val="00224CB3"/>
    <w:rsid w:val="00231257"/>
    <w:rsid w:val="00232CD1"/>
    <w:rsid w:val="00233B8E"/>
    <w:rsid w:val="00262372"/>
    <w:rsid w:val="002C03AD"/>
    <w:rsid w:val="002E250A"/>
    <w:rsid w:val="00351DF0"/>
    <w:rsid w:val="003760C2"/>
    <w:rsid w:val="0041486A"/>
    <w:rsid w:val="00457175"/>
    <w:rsid w:val="0046652B"/>
    <w:rsid w:val="004924F9"/>
    <w:rsid w:val="00493853"/>
    <w:rsid w:val="004C618B"/>
    <w:rsid w:val="004F1B7F"/>
    <w:rsid w:val="004F281F"/>
    <w:rsid w:val="005656D8"/>
    <w:rsid w:val="005C6CD1"/>
    <w:rsid w:val="00602015"/>
    <w:rsid w:val="0060746B"/>
    <w:rsid w:val="0067147F"/>
    <w:rsid w:val="00684CFB"/>
    <w:rsid w:val="006D3ACA"/>
    <w:rsid w:val="00706D10"/>
    <w:rsid w:val="00853183"/>
    <w:rsid w:val="008720A2"/>
    <w:rsid w:val="0087552A"/>
    <w:rsid w:val="008936A0"/>
    <w:rsid w:val="008C36DC"/>
    <w:rsid w:val="008C64CA"/>
    <w:rsid w:val="008E46ED"/>
    <w:rsid w:val="008F2FF8"/>
    <w:rsid w:val="00952665"/>
    <w:rsid w:val="00960A45"/>
    <w:rsid w:val="009D1076"/>
    <w:rsid w:val="00A37C4D"/>
    <w:rsid w:val="00A6703E"/>
    <w:rsid w:val="00AC7077"/>
    <w:rsid w:val="00B63F71"/>
    <w:rsid w:val="00B85ABC"/>
    <w:rsid w:val="00BA0617"/>
    <w:rsid w:val="00BB1B12"/>
    <w:rsid w:val="00CA4AE2"/>
    <w:rsid w:val="00CB5CB5"/>
    <w:rsid w:val="00CB6F5A"/>
    <w:rsid w:val="00CD4609"/>
    <w:rsid w:val="00CE3163"/>
    <w:rsid w:val="00D12A71"/>
    <w:rsid w:val="00D805DE"/>
    <w:rsid w:val="00DC0F45"/>
    <w:rsid w:val="00E12956"/>
    <w:rsid w:val="00E2061B"/>
    <w:rsid w:val="00E55125"/>
    <w:rsid w:val="00E800F6"/>
    <w:rsid w:val="00E84FDE"/>
    <w:rsid w:val="00EB583B"/>
    <w:rsid w:val="00EF7813"/>
    <w:rsid w:val="00F469CF"/>
    <w:rsid w:val="00F7475B"/>
    <w:rsid w:val="00F947A6"/>
    <w:rsid w:val="00FD2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D73DBB"/>
  <w15:docId w15:val="{2DA19853-5BE2-4C52-A51F-34040C4FE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F2FF8"/>
    <w:pPr>
      <w:spacing w:after="200" w:line="276" w:lineRule="auto"/>
    </w:pPr>
    <w:rPr>
      <w:rFonts w:ascii="Calibri" w:hAnsi="Calibri"/>
      <w:sz w:val="22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CD4609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paragraph" w:styleId="llb">
    <w:name w:val="footer"/>
    <w:basedOn w:val="Norml"/>
    <w:link w:val="llbChar"/>
    <w:rsid w:val="00CD4609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styleId="Oldalszm">
    <w:name w:val="page number"/>
    <w:basedOn w:val="Bekezdsalapbettpusa"/>
    <w:rsid w:val="00CD4609"/>
  </w:style>
  <w:style w:type="paragraph" w:customStyle="1" w:styleId="Alaprtelmezett">
    <w:name w:val="Alapértelmezett"/>
    <w:rsid w:val="008F2FF8"/>
    <w:pPr>
      <w:widowControl w:val="0"/>
      <w:tabs>
        <w:tab w:val="left" w:pos="709"/>
      </w:tabs>
      <w:suppressAutoHyphens/>
      <w:spacing w:after="200" w:line="276" w:lineRule="auto"/>
    </w:pPr>
    <w:rPr>
      <w:rFonts w:eastAsia="SimSun" w:cs="Mangal"/>
      <w:sz w:val="24"/>
      <w:szCs w:val="24"/>
      <w:lang w:eastAsia="zh-CN" w:bidi="hi-IN"/>
    </w:rPr>
  </w:style>
  <w:style w:type="table" w:styleId="Rcsostblzat">
    <w:name w:val="Table Grid"/>
    <w:basedOn w:val="Normltblzat"/>
    <w:uiPriority w:val="59"/>
    <w:rsid w:val="008F2FF8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m">
    <w:name w:val="Title"/>
    <w:basedOn w:val="Norml"/>
    <w:next w:val="Norml"/>
    <w:link w:val="CmChar"/>
    <w:qFormat/>
    <w:rsid w:val="006D3ACA"/>
    <w:pPr>
      <w:pBdr>
        <w:bottom w:val="single" w:sz="8" w:space="4" w:color="000000"/>
      </w:pBdr>
      <w:suppressAutoHyphens/>
      <w:spacing w:after="300" w:line="240" w:lineRule="auto"/>
    </w:pPr>
    <w:rPr>
      <w:rFonts w:ascii="Cambria" w:hAnsi="Cambria" w:cs="Calibri"/>
      <w:color w:val="343434"/>
      <w:spacing w:val="5"/>
      <w:kern w:val="1"/>
      <w:sz w:val="52"/>
      <w:szCs w:val="52"/>
      <w:lang w:val="x-none" w:eastAsia="ar-SA"/>
    </w:rPr>
  </w:style>
  <w:style w:type="character" w:customStyle="1" w:styleId="CmChar">
    <w:name w:val="Cím Char"/>
    <w:basedOn w:val="Bekezdsalapbettpusa"/>
    <w:link w:val="Cm"/>
    <w:rsid w:val="006D3ACA"/>
    <w:rPr>
      <w:rFonts w:ascii="Cambria" w:hAnsi="Cambria" w:cs="Calibri"/>
      <w:color w:val="343434"/>
      <w:spacing w:val="5"/>
      <w:kern w:val="1"/>
      <w:sz w:val="52"/>
      <w:szCs w:val="52"/>
      <w:lang w:val="x-none" w:eastAsia="ar-SA"/>
    </w:rPr>
  </w:style>
  <w:style w:type="paragraph" w:styleId="NormlWeb">
    <w:name w:val="Normal (Web)"/>
    <w:basedOn w:val="Norml"/>
    <w:uiPriority w:val="99"/>
    <w:rsid w:val="006D3ACA"/>
    <w:pPr>
      <w:suppressAutoHyphens/>
      <w:spacing w:before="280" w:after="280" w:line="240" w:lineRule="auto"/>
    </w:pPr>
    <w:rPr>
      <w:rFonts w:ascii="Times New Roman" w:hAnsi="Times New Roman" w:cs="Calibri"/>
      <w:sz w:val="24"/>
      <w:szCs w:val="24"/>
      <w:lang w:eastAsia="ar-SA"/>
    </w:rPr>
  </w:style>
  <w:style w:type="paragraph" w:styleId="Listaszerbekezds">
    <w:name w:val="List Paragraph"/>
    <w:basedOn w:val="Norml"/>
    <w:uiPriority w:val="34"/>
    <w:qFormat/>
    <w:rsid w:val="009D1076"/>
    <w:pPr>
      <w:suppressAutoHyphens/>
      <w:ind w:left="720"/>
    </w:pPr>
    <w:rPr>
      <w:rFonts w:cs="Calibri"/>
      <w:lang w:eastAsia="ar-SA"/>
    </w:rPr>
  </w:style>
  <w:style w:type="paragraph" w:styleId="Lbjegyzetszveg">
    <w:name w:val="footnote text"/>
    <w:basedOn w:val="Norml"/>
    <w:link w:val="LbjegyzetszvegChar"/>
    <w:uiPriority w:val="99"/>
    <w:unhideWhenUsed/>
    <w:rsid w:val="00F469CF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469CF"/>
    <w:rPr>
      <w:rFonts w:asciiTheme="minorHAnsi" w:eastAsiaTheme="minorHAnsi" w:hAnsiTheme="minorHAnsi" w:cstheme="minorBidi"/>
      <w:lang w:eastAsia="en-US"/>
    </w:rPr>
  </w:style>
  <w:style w:type="character" w:styleId="Lbjegyzet-hivatkozs">
    <w:name w:val="footnote reference"/>
    <w:basedOn w:val="Bekezdsalapbettpusa"/>
    <w:uiPriority w:val="99"/>
    <w:unhideWhenUsed/>
    <w:rsid w:val="00F469CF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F469CF"/>
    <w:rPr>
      <w:color w:val="0000FF" w:themeColor="hyperlink"/>
      <w:u w:val="single"/>
    </w:rPr>
  </w:style>
  <w:style w:type="paragraph" w:styleId="Buborkszveg">
    <w:name w:val="Balloon Text"/>
    <w:basedOn w:val="Norml"/>
    <w:link w:val="BuborkszvegChar"/>
    <w:rsid w:val="000968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096833"/>
    <w:rPr>
      <w:rFonts w:ascii="Tahoma" w:hAnsi="Tahoma" w:cs="Tahoma"/>
      <w:sz w:val="16"/>
      <w:szCs w:val="16"/>
    </w:rPr>
  </w:style>
  <w:style w:type="character" w:customStyle="1" w:styleId="llbChar">
    <w:name w:val="Élőláb Char"/>
    <w:link w:val="llb"/>
    <w:locked/>
    <w:rsid w:val="00CB6F5A"/>
    <w:rPr>
      <w:sz w:val="24"/>
      <w:szCs w:val="24"/>
    </w:rPr>
  </w:style>
  <w:style w:type="paragraph" w:customStyle="1" w:styleId="WW-Alaprtelmezett">
    <w:name w:val="WW-Alapértelmezett"/>
    <w:rsid w:val="00E84FDE"/>
    <w:pPr>
      <w:tabs>
        <w:tab w:val="left" w:pos="709"/>
      </w:tabs>
      <w:suppressAutoHyphens/>
      <w:spacing w:line="360" w:lineRule="atLeast"/>
    </w:pPr>
    <w:rPr>
      <w:rFonts w:eastAsia="Arial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uzes\Downloads\Dokumentum_sablon_tobb_oldal_20200901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D92DC-E197-498B-9C52-D609EA85C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Dokumentum_sablon_tobb_oldal_20200901.dotx</Template>
  <TotalTime>2</TotalTime>
  <Pages>12</Pages>
  <Words>2350</Words>
  <Characters>15372</Characters>
  <Application>Microsoft Office Word</Application>
  <DocSecurity>0</DocSecurity>
  <Lines>128</Lines>
  <Paragraphs>35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PTE Egyetemi Könyvtár</Company>
  <LinksUpToDate>false</LinksUpToDate>
  <CharactersWithSpaces>17687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Füzes Barnabás</dc:creator>
  <cp:lastModifiedBy>dr. Füzes Barnabás</cp:lastModifiedBy>
  <cp:revision>4</cp:revision>
  <cp:lastPrinted>2020-09-22T12:29:00Z</cp:lastPrinted>
  <dcterms:created xsi:type="dcterms:W3CDTF">2020-09-22T12:28:00Z</dcterms:created>
  <dcterms:modified xsi:type="dcterms:W3CDTF">2020-09-22T12:30:00Z</dcterms:modified>
</cp:coreProperties>
</file>